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27.02.2018. noteikumu Nr. 118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(turpmāk – specifiskais atbalsts) pirmo atlases kārtu "Ieguldījumi kultūras un dabas mantojuma attīstībai visā Latvijas teritorijā (tai skaitā Rīgā), izņemot pārējās Baltijas jūras piekrastes pašvaldības" un otro atlases kārtu "Ieguldījumi kultūras un dabas mantojuma attīstībai pašvaldībās, kuru administratīvā teritorija robežojas ar jūru (izņemot Rīgu)";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iesnieguma (turpmāk – projekts) iesniedzējam un projekta sadarbības partnerim (turpmāk – sadarbības partneris), tai skaitā vienošanās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atbalsta komercdarbībai saņemšanas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27.02.2018. noteikumiem Nr. 118)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 šādu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"Ieguldījumi kultūras un dabas mantojuma attīstībai visā Latvijas teritorijā (tai skaitā Rīgā), izņemot pārējās Baltijas jūras piekrastes pašvaldības"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"Ieguldījumi kultūras un dabas mantojuma attīstībai pašvaldībās, kuru administratīvā teritorija robežojas ar jūru (izņemot Rīgu)" (turpmāk – otrā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īstenošanu nodrošina Kultūras ministrija kā atbildīgā iestāde (turpmāk – atbildīgā iestāde) sadarbībā ar Vides aizsardzības un reģionālās attīstības ministriju un sadarbības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specifiskā atbalsta ieviešanu, Kultūras ministrija sadarbībā ar Vides aizsardzības un reģionālās attīstības ministriju pirms ierobežotas projektu iesniegumu atlases uzsākšanas nodrošina projektu ideju priekšatlasi.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 sadarbībā ar Vides aizsardzības un reģionālās attīstības ministriju izveido projektu ideju priekšatlases vērtēšanas komisiju (turpmāk – vērtēšanas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saglabāt, aizsargāt un attīstīt pašvaldību attīstības programmās balstītu nozīmīgu kultūras un dabas mantojumu, attīstīt esošās funkcijas un piedāvāt jaunradītus pakalpojumus kultūras un dabas mantojuma objektos, nodrošinot investīciju ilgtspēju un ietekmi uz nozīmīgu kultūras un dabas mantojuma objektu sociālekonomiskā potenciāla attīstību un integrāciju vietējās ekonomikas struktūrā.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kultūras un dabas mantojuma objektu īpašnieki, tiesiskie valdītāji un turētāji, ar kultūras un dabas mantojuma objektu saistīto pakalpojumu sniedzēji, iedzīvotāji, vietējie un ārvalstu tūristi.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kultūras un dabas mantojuma objektu un tūrisma objektu apmeklējumu skaita paredzamais pieaugums, salīdzinot ar 2015. gadu, – ne mazāk kā 317 499 apmeklējumi;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dabas un kultūras mantojuma objektu skaits – ne mazāk kā 45 objekti;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jaunradīto pakalpojumu skaits atbalstītajos kultūras un dabas mantojuma objektos – ne mazāk kā 78 jaunradīti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2023. gada 31. decembrim tūristu mītnēs pavadītās naktis Latvijas teritorijā gada laikā – ne mazāk kā 6 852 024  naktis;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sertificētie izdevumi – ne mazāk kā 8 325  212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plānotais kopējais attiecināmais finansējums ir ne mazāk kā 41 152 663 </w:t>
      </w:r>
      <w:r w:rsidR="00000000" w:rsidRPr="00000000" w:rsidDel="00000000">
        <w:rPr>
          <w:i w:val="1"/>
          <w:rtl w:val="0"/>
        </w:rPr>
        <w:t xml:space="preserve">euro</w:t>
      </w:r>
      <w:r w:rsidR="00000000" w:rsidRPr="00000000" w:rsidDel="00000000">
        <w:rPr>
          <w:rtl w:val="0"/>
        </w:rPr>
        <w:t xml:space="preserve">, tai skaitā Eiropas Reģionālās attīstības fonda finansējums granta veidā – ne vairāk kā 34 979 763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pašvaldības finansējums un privātais finansējums) – ne mazāk kā 6 172 900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14.01.2020. noteikumu Nr. 30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Specifisko atbalstu īsteno divās atlases kārtās ar šādu plānotā finansējuma sadalījumu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plānotais kopējais attiecināmais finansējums ir ne mazāk kā 23 581 785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20 044 517 </w:t>
      </w:r>
      <w:r w:rsidR="00000000" w:rsidRPr="00000000" w:rsidDel="00000000">
        <w:rPr>
          <w:i w:val="1"/>
          <w:rtl w:val="0"/>
        </w:rPr>
        <w:t xml:space="preserve">euro</w:t>
      </w:r>
      <w:r w:rsidR="00000000" w:rsidRPr="00000000" w:rsidDel="00000000">
        <w:rPr>
          <w:rtl w:val="0"/>
        </w:rPr>
        <w:t xml:space="preserve"> un nacionālais finansējums – 3 537 268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kopējais attiecināmais finansējums ir ne mazāk kā 17 570 878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14 935 246 </w:t>
      </w:r>
      <w:r w:rsidR="00000000" w:rsidRPr="00000000" w:rsidDel="00000000">
        <w:rPr>
          <w:i w:val="1"/>
          <w:rtl w:val="0"/>
        </w:rPr>
        <w:t xml:space="preserve">euro</w:t>
      </w:r>
      <w:r w:rsidR="00000000" w:rsidRPr="00000000" w:rsidDel="00000000">
        <w:rPr>
          <w:rtl w:val="0"/>
        </w:rPr>
        <w:t xml:space="preserve"> un nacionālais finansējums – 2 635 632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14.01.2020. noteikumiem Nr. 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projekta iesniedzējs plāno pēc Eiropas Komisijas lēmuma par snieguma ietvara izpildi pieejamo snieguma rezerves finansējumu novirzīt jau uzsāktam projektam, tad, ja projekts ir kvalificējams kā komercdarbības atbalsts, projekta iesniedzējs projekta īstenošanai līdz 2018. gada 31. decembrim papildus pieejamam Eiropas Reģionālās attīstības fonda līdzfinansējumam var piesaistīt citus publiskos līdzekļus snieguma rezerves finansējuma apjomā (piemēram, pašvaldības aizņēmumu Valsts kasē, nepārsniedzot projekta īstenošanai nepieciešamā publiskā finansējuma apmēru un ievērojot valsts atbalsta regulējumu). Projektam nepieciešamā publiskā finansējuma apmēru nosaka vienošanās par projekta īstenošanu. Pēc snieguma ietvara izpildes atbilstoši šo noteikumu </w:t>
      </w:r>
      <w:r w:rsidR="00000000" w:rsidRPr="00000000" w:rsidDel="00000000">
        <w:rPr>
          <w:rtl w:val="0"/>
        </w:rPr>
        <w:t xml:space="preserve">14.</w:t>
      </w:r>
      <w:r w:rsidR="00000000" w:rsidRPr="00000000" w:rsidDel="00000000">
        <w:rPr>
          <w:rtl w:val="0"/>
        </w:rPr>
        <w:t xml:space="preserve"> punktā minētajam sadarbības iestāde var palielināt projektam Kohēzijas fonda finansējuma apmēru, nepalielinot sākotnēji noteikto projekta īstenošanai nepieciešamā publiskā finansējuma apmēru. Ja projekts nav kvalificējams kā komercdarbības atbalsts, projekta iesniedzējs projekta īstenošanai līdz 2018. gada 31. decembrim papildus pieejamam Eiropas Reģionālās attīstības fonda līdzfinansējumam var piesaistīt privātos vai publiskos līdzekļus, lai priekšfinansētu snieguma rezervi. Pēc snieguma ietvara izpildes atbilstoši šo noteikumu </w:t>
      </w:r>
      <w:r w:rsidR="00000000" w:rsidRPr="00000000" w:rsidDel="00000000">
        <w:rPr>
          <w:rtl w:val="0"/>
        </w:rPr>
        <w:t xml:space="preserve">10.</w:t>
      </w:r>
      <w:r w:rsidR="00000000" w:rsidRPr="00000000" w:rsidDel="00000000">
        <w:rPr>
          <w:rtl w:val="0"/>
        </w:rPr>
        <w:t xml:space="preserve"> punktā minētajam sadarbības iestāde var palielināt projektam Kohēzijas fonda finansējuma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projekta iesniedzējs neveic saimniecisko darbību un atbalsta sniegšana specifiskā atbalsta ietvaros tam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iesniedzējam un sadarbības partnerim, kas veic saimniecisko darbību un kam atbalsta sniegšana specifiskā atbalsta mērķa ietvaros ir kvalificējama kā valsts atbalsts komercdarbībai, atbalsta summa, kas ietver Eiropas Reģionālās attīstības fonda finansējumu un citu publisko finansējumu,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53. panta 6. punktā noteiktajam nepārsniedz starpību starp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 norādītajām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partneris var saņemt ieguldījumu atbalstu no publiskā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iestādei, pašvaldībai, pašvaldības iestādei vai pašvaldības kapitālsabiedrībai, ja projektā īstenotajā infrastruktūrā neveic saimniecisko darbību, kas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iestādei, pašvaldībai, pašvaldības iestādei vai pašvaldības kapitālsabiedrībai, ja projektā īstenotajā infrastruktūrā veic saimniecisko darbību, kas kvalificējama kā valsts atbalsts komercdarbībai, publiskais finansējums nepārsniedz šo noteikumu </w:t>
      </w:r>
      <w:r w:rsidR="00000000" w:rsidRPr="00000000" w:rsidDel="00000000">
        <w:rPr>
          <w:rtl w:val="0"/>
        </w:rPr>
        <w:t xml:space="preserve">17.</w:t>
      </w:r>
      <w:r w:rsidR="00000000" w:rsidRPr="00000000" w:rsidDel="00000000">
        <w:rPr>
          <w:rtl w:val="0"/>
        </w:rPr>
        <w:t xml:space="preserve"> punktā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iesniedzējs un sadarbības partneris veic saimniecisko darbību un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komerciāliem vai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Specifiskā atbalsta ietvaros projekta iesniedzējs var iesniegt vienu projekta iesniegumu un ar sadarbības partneri slēdz sadarbības līgumu par projekta īstenošanu viena sadarbības projekta ietvaros. Ar projekta iesniedzēju, kas iesniedzis projekta iesniegumu specifiskā atbalsta ietvaros, vienlaikus nevar slēgt sadarbības līgumu kā ar sadarbības partneri cita projekta iesnieguma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specifiskā atbalsta ietvaros ir pašvaldība vai pašvaldības iestāde, kura iekļauta Ministru kabineta apstiprinātajā projektu iesniedzēju sarakstā, kas izveidots pēc projektu ideju priekšatlases.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un sadarbības partneris atbilst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neatbilst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dome nav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ministrs nav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teritorijas efektīvu sociālekonomisko attīstību, projekta ietvaros ir paredzēta sadarbība starp vairākām pašvaldībām. Projekta iesniedzējs projekta īstenošanā piesaista vienu vai vairākus sadarbības partnerus, kopīgā sadarbības projekta stratēģijā pamatojot projekta ietvaros plānoto investīciju sinerģiju.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kā sadarbības partneri var piesaistīt pašvaldību, pašvaldības iestādi, pašvaldības kapitālsabiedrību, plānošanas reģionu, biedrību, nodibinājumu, reliģisku organizāciju, juridisku vai komercreģistrā reģistrētu fizisku personu, komersantu vai valsts pārvaldes iestādi, kuras īpašumā, turējumā vai valdījumā atrodas kultūras vai dabas mantojuma objekts,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ar katru sadarbības partneri slēdz rakstveida sadarbības līgumu par pušu pienākumiem, tiesībām un atbildību projekta mērķa un rādītāju sasniegšanā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partneris iesaistās projekta īstenošanā ar tā valdījumā, turējumā vai īpašumā esošu nekustamo īpašumu.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apstiprināta pašvaldības attīstības programma un projektā plānotās investīcijas ir pamatotas attiecīgās pašvaldības attīstības programmā, sasniedzamos iznākuma rādītājus norādot investīciju plānā. Pašvaldības attīstības programmā ir norādīta sasaiste ar citām publiskajām un privātajām investīcijām attiecīgajā teritorijā, ņemot vērā vietējos apstākļus un potenciālu, paredzot līdzsvarotu ilgtspējīgu teritorijas attīstību kopumā.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iesniedzējam un katram sadarbības partnerim projekta iesnieguma iesniegšanas dienā ir apstiprināta objekta darbības stratēģija vai attīstāmās infrastruktūras apraksts visiem objektiem, kuros ir plānoti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darbības stratēģijas pamato pieprasījumu objektā nodrošinātajiem pakalpojumiem, kā arī paredz objekta uzturēšanu ilgtermiņā, neradot papildu finanšu slogu pašvaldībai un 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attīstāmās infrastruktūras aprakstos sniegts pakalpojumu nepieciešamības pamatojums, sociālekonomiskie ieguvumi un ietekme uz šī specifiskā atbalsta sasniedzamajiem rādītājiem.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rezultātu ilgtspēju vismaz piecus gadus pēc projekta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ka projekta dokumentāciju glabā atbilstoši Komisijas regulas Nr.  </w:t>
      </w:r>
      <w:r w:rsidR="00000000" w:rsidRPr="00000000" w:rsidDel="00000000">
        <w:rPr>
          <w:rtl w:val="0"/>
        </w:rPr>
        <w:t xml:space="preserve">480/2014</w:t>
      </w:r>
      <w:r w:rsidR="00000000" w:rsidRPr="00000000" w:rsidDel="00000000">
        <w:rPr>
          <w:rtl w:val="0"/>
        </w:rPr>
        <w:t xml:space="preserve"> I pielikumā noteiktajam projekta pārskata periodam (projekta dzīves ciklam).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27.02.2018. noteikumu Nr. 118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uzkrāj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9.1.</w:t>
      </w:r>
      <w:r w:rsidR="00000000" w:rsidRPr="00000000" w:rsidDel="00000000">
        <w:rPr>
          <w:rtl w:val="0"/>
        </w:rPr>
        <w:t xml:space="preserve"> apakšpunktā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projekta ietekmi uz šo noteikumu </w:t>
      </w:r>
      <w:r w:rsidR="00000000" w:rsidRPr="00000000" w:rsidDel="00000000">
        <w:rPr>
          <w:rtl w:val="0"/>
        </w:rPr>
        <w:t xml:space="preserve">9.2.</w:t>
      </w:r>
      <w:r w:rsidR="00000000" w:rsidRPr="00000000" w:rsidDel="00000000">
        <w:rPr>
          <w:rtl w:val="0"/>
        </w:rPr>
        <w:t xml:space="preserve"> apakšpunktā minēto rezultāta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objektu skaitu, kuros Eiropas Reģionālās attīstības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objektu skaitu, kuros, īstenojot projektu, publiskajā iepirkumā izmantoti zaļā iepirkuma principi;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enerģijas patēriņu pēc projekta īstenošanas (megavatstundas). Finansējuma saņēmējs projekta iesniegumā norāda būves enerģijas patēriņu pirms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40 procentus no projektam piešķirtā Eiropas Reģionālās attīstības fonda finansējuma un valsts budžeta līdzfinansējuma kopsummas.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ar saimniecisko darbību nesaistīts projekts tā ieviešanas gaitā vai projekta pārskata periodā (projekta dzīves cikla laikā) kļūst par projektu, kas saistīts ar saimniecisko darbību, un atbalsts tam kvalificējams kā valsts atbalsts komercdarbībai, tiek piemēroti Komisijas regulas Nr. 651/2014 53. panta nosacījumi. Ja Komisijas regulas Nr. 651/2014 53. panta nosacījumus nav iespējams piemērot, piešķirtais atbalsts ir nelikumīgs komercdarbības atbalsts un atbalsta sniedzējam jāpiemēro šo noteikumu 61. punktā noteiktās nelikumīgā komercdarbības atbalsta atgūšanas normas. Ja attiecīgajā projektā vai projekta daļā projekta pārskata periodā (projekta dzīves cikla laikā) ir radusies lielāka peļņa no pamatdarbības (neskaitot samērīgas peļņas daļu, kas atbilst tipiskai peļņai kultūras nozares attiecīgajā jomā Latvijas Republikā), nekā projektā plānots, finansējuma saņēmējs projekta pārskata perioda (projekta dzīves cikla) beigās veic šo noteikumu 30. punktā minētās izmaksu un ieguvumu analīzes pārrēķinu un sadarbības iestādei atmaksā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262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specifiskā atbalsta mērķa vai specifiskā atbalsta mērķa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Projektā iekļauj atbalstāmās darbības, kas sekmē šo noteikumu II nodaļā minētā specifiskā atbalsta mērķa un šo noteikumu </w:t>
      </w:r>
      <w:r w:rsidR="00000000" w:rsidRPr="00000000" w:rsidDel="00000000">
        <w:rPr>
          <w:rtl w:val="0"/>
        </w:rPr>
        <w:t xml:space="preserve">9.</w:t>
      </w:r>
      <w:r w:rsidR="00000000" w:rsidRPr="00000000" w:rsidDel="00000000">
        <w:rPr>
          <w:rtl w:val="0"/>
        </w:rPr>
        <w:t xml:space="preserve"> punktā noteikto uzraudzības rādītāju sasniegšanu un ir iekļautas pašvaldības attīstības programmas investīciju plānā: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nozīmes arhitektūras, arheoloģijas, vēstures, kā arī pilsētbūvniecības pieminekļu atjaunošana, konservācija, pārbūve vai restaurācija;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kultūras un dabas mantojumu saistītās infrastruktūras būvju atjaunošana, konservācija, pārbūve, restaurācija vai jaunu infrastruktūras būvju būvniecība un publiskās ārtelpas attīstīšana atbalstāmo objektu apkārtnē, kas ir vērsta uz kultūras un dabas mantojuma saglabāšanu, aizsardzību un attīstību;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pakalpojumu izveide, paplašinot kultūras un dabas mantojuma saturisko piedāvājumu;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ietvaros ir atbalstāma vides prasību integrācija preču, pakalpojumu un būvdarbu iepirkumos (zaļais publiskais iepirkums), lai nodrošinātu atbilstību horizontālā principa "Ilgtspējīga attīstība" projektu iesniegumu vērtēšanas kritērijam.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Objekti, kuros plānotas investīcijas, atrodas projekta iesniedzēja vai sadarbības partnera īpašumā, turējumā vai valdījumā.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Izdevumi ir attiecināmi no 2016. gada 20. decembra, izņemot šo noteikumu 42.2. apakšpunktā minētās izmaksas, kas ir uzskatāmas par attiecināmām finansēšanai no Eiropas Reģionālās attīstības fonda un valsts budžeta finansējuma, ja tās ir radušās ne agrāk kā 2014.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280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42.1.1.</w:t>
      </w:r>
      <w:r w:rsidR="00000000" w:rsidRPr="00000000" w:rsidDel="00000000">
        <w:rPr>
          <w:rtl w:val="0"/>
        </w:rPr>
        <w:t xml:space="preserve"> apakšpunktā minētajām izmaksām, ko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projektu vadības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ievērojot, ka attiecināma ir ne mazāka kā 30 procentu noslodze noteiktā laikposmā (vismaz viens mēnesis), ja personāls iesaistīts projektā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pamatojošās dokumentācijas sagatavošanas izmaksas, izņemot projekta iesnieguma veidlapas aizpildīšanas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pastāvīgās ekspozīcijas un tehniskā projekta izstrādes izmaksas akreditētam valsts vai pašvaldības muzejam. Ja valsts vai pašvaldības muzeju projekta ietvaros paredzēts izveidot no jauna, izmaksas attiecināmas ar nosacījumu, ka, slēdzot vienošanos par projekta īstenošanu, tiek noteikts, ka valsts vai pašvaldības muzeja akreditācija paredzēta atbilstoši Muzeju likumā noteiktajam;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autoruzraudzības, arheoloģiskās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esošas būves, tai skaitā infrastruktūras, kas nodrošina kultūras un dabas mantojuma objekta sasniedzamību un pieejamību (ielu, gājēju ceļu, gājēju tiltu, labiekārtotu laukumu ar segumu, laipu, kāpņu), atjaunošana, konservācija, pārbūve vai restaurācija un ar to saistītās publiskās ārtelpas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būves, tai skaitā infrastruktūras, kas nodrošina kultūras un dabas mantojuma objekta sasniedzamību un pieejamību (ielu, gājēju ceļu, gājēju tiltu, labiekārtotu laukumu ar segumu, veloceļu, izziņas taku, laipu, kāpņu), būvniecība un ar to saistītās publiskās ārtelpas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specifiskā atbalsta mērķa ietvaros atjaunoto, konservēto, pārbūvēto, restaurēto vai uzbūvēto būvju funkcionalitātes nodrošināšanai nepieciešamā ārējā ūdensvada, sadzīves kanalizācijas, lietus ūdens kanalizācijas, elektrības, vājstrāvas, siltumtrases pieslēgumu atjaunošana un pārbūve vai būvniecība;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aprīkošana un pielāgošana vēsturisko priekšmetu glabāšanai, restaurācijai un pakalpojumu sniegšanai, tai skaitā tūrisma informācijas centra izveides izmaksas un izmaksas, kas nepieciešamas būves vai tās daļas pieņemšanai ekspluatācijā, nepārsniedzot septiņus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ekspozīcijas izmaksas, aprīkojuma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pieminekļa pastāvīgās ekspozīcijas izmaksas, nepārsniedzot septiņus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akreditēta valsts vai pašvaldības muzeja vai baznīcas tematisko izstāžu un tādu mākslas darbu, iekārtu un kultūrvēsturisko un mākslas priekšmetu restaurācijas izmaksas, kuri atrodas atjaunojamā kultūrvēsturiskā objektā un kuriem ir vēsturiska, zinātniska, mākslinieciska vai cita ar kultūras mantojuma objektu saistīta kultūras vērtība. Ja valsts vai pašvaldības muzeju projekta ietvaros paredzēts izveidot no jauna, izmaksas attiecināmas ar nosacījumu, ka, slēdzot vienošanos par projekta īstenošanu, tiek noteikts, ka valsts vai pašvaldības muzeja akreditācija paredzēta atbilstoši Muzeju likumā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ja tās nepārsniedz trīs procentus no projekta kopējām attiecināmajām tiešajām izmaksām. Ja projekta iesniegumā plānotās darbības kvalificējamas kā valsts atbalsts, publicitātes izmaksas nav attiecināmas.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27.02.2018. noteikumiem Nr. 118)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42.3.</w:t>
      </w:r>
      <w:r w:rsidR="00000000" w:rsidRPr="00000000" w:rsidDel="00000000">
        <w:rPr>
          <w:rtl w:val="0"/>
        </w:rPr>
        <w:t xml:space="preserve"> apakšpunktā minētās izmaksas kopā nedrīkst pārsniegt 10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42.5.</w:t>
      </w:r>
      <w:r w:rsidR="00000000" w:rsidRPr="00000000" w:rsidDel="00000000">
        <w:rPr>
          <w:rtl w:val="0"/>
        </w:rPr>
        <w:t xml:space="preserve"> un </w:t>
      </w:r>
      <w:r w:rsidR="00000000" w:rsidRPr="00000000" w:rsidDel="00000000">
        <w:rPr>
          <w:rtl w:val="0"/>
        </w:rPr>
        <w:t xml:space="preserve">42.6.</w:t>
      </w:r>
      <w:r w:rsidR="00000000" w:rsidRPr="00000000" w:rsidDel="00000000">
        <w:rPr>
          <w:rtl w:val="0"/>
        </w:rPr>
        <w:t xml:space="preserve"> apakšpunktā minētās izmaksas kopā nedrīkst pārsniegt 15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attiecināmas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 minētās izmaksas ir attiecināmas, ja tie ir ieguldījumi materiālajos aktīvos, kā noteikts Komisijas regulas Nr.  </w:t>
      </w:r>
      <w:r w:rsidR="00000000" w:rsidRPr="00000000" w:rsidDel="00000000">
        <w:rPr>
          <w:rtl w:val="0"/>
        </w:rPr>
        <w:t xml:space="preserve">651/2014</w:t>
      </w:r>
      <w:r w:rsidR="00000000" w:rsidRPr="00000000" w:rsidDel="00000000">
        <w:rPr>
          <w:rtl w:val="0"/>
        </w:rPr>
        <w:t xml:space="preserve"> 2. panta 29. punktā, un (vai) nemateriālajos aktīvos, kā noteikts Komisijas regulas Nr.  </w:t>
      </w:r>
      <w:r w:rsidR="00000000" w:rsidRPr="00000000" w:rsidDel="00000000">
        <w:rPr>
          <w:rtl w:val="0"/>
        </w:rPr>
        <w:t xml:space="preserve">651/2014</w:t>
      </w:r>
      <w:r w:rsidR="00000000" w:rsidRPr="00000000" w:rsidDel="00000000">
        <w:rPr>
          <w:rtl w:val="0"/>
        </w:rPr>
        <w:t xml:space="preserve"> 2. panta 30. punktā, un ir saistīti ar pamatlīdzekļa vērtību.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izmaksas, kas pārsniedz šo noteikumu </w:t>
      </w:r>
      <w:r w:rsidR="00000000" w:rsidRPr="00000000" w:rsidDel="00000000">
        <w:rPr>
          <w:rtl w:val="0"/>
        </w:rPr>
        <w:t xml:space="preserve">41.</w:t>
      </w:r>
      <w:r w:rsidR="00000000" w:rsidRPr="00000000" w:rsidDel="00000000">
        <w:rPr>
          <w:rtl w:val="0"/>
        </w:rPr>
        <w:t xml:space="preserve"> punktā,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42.5.</w:t>
      </w:r>
      <w:r w:rsidR="00000000" w:rsidRPr="00000000" w:rsidDel="00000000">
        <w:rPr>
          <w:rtl w:val="0"/>
        </w:rPr>
        <w:t xml:space="preserve">, </w:t>
      </w:r>
      <w:r w:rsidR="00000000" w:rsidRPr="00000000" w:rsidDel="00000000">
        <w:rPr>
          <w:rtl w:val="0"/>
        </w:rPr>
        <w:t xml:space="preserve">42.6.</w:t>
      </w:r>
      <w:r w:rsidR="00000000" w:rsidRPr="00000000" w:rsidDel="00000000">
        <w:rPr>
          <w:rtl w:val="0"/>
        </w:rPr>
        <w:t xml:space="preserve">, </w:t>
      </w:r>
      <w:r w:rsidR="00000000" w:rsidRPr="00000000" w:rsidDel="00000000">
        <w:rPr>
          <w:rtl w:val="0"/>
        </w:rPr>
        <w:t xml:space="preserve">42.6.1.</w:t>
      </w:r>
      <w:r w:rsidR="00000000" w:rsidRPr="00000000" w:rsidDel="00000000">
        <w:rPr>
          <w:rtl w:val="0"/>
        </w:rPr>
        <w:t xml:space="preserve"> un </w:t>
      </w:r>
      <w:r w:rsidR="00000000" w:rsidRPr="00000000" w:rsidDel="00000000">
        <w:rPr>
          <w:rtl w:val="0"/>
        </w:rPr>
        <w:t xml:space="preserve">42.8.</w:t>
      </w:r>
      <w:r w:rsidR="00000000" w:rsidRPr="00000000" w:rsidDel="00000000">
        <w:rPr>
          <w:rtl w:val="0"/>
        </w:rPr>
        <w:t xml:space="preserve"> apakšpunktā,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w:t>
      </w:r>
      <w:r w:rsidR="00000000" w:rsidRPr="00000000" w:rsidDel="00000000">
        <w:rPr>
          <w:rtl w:val="0"/>
        </w:rPr>
        <w:t xml:space="preserve"> punktā minēto attiecināmo izmaksu apmēru un ir nepieciešamas saskaņā ar šo noteikumu </w:t>
      </w:r>
      <w:r w:rsidR="00000000" w:rsidRPr="00000000" w:rsidDel="00000000">
        <w:rPr>
          <w:rtl w:val="0"/>
        </w:rPr>
        <w:t xml:space="preserve">42.2.</w:t>
      </w:r>
      <w:r w:rsidR="00000000" w:rsidRPr="00000000" w:rsidDel="00000000">
        <w:rPr>
          <w:rtl w:val="0"/>
        </w:rPr>
        <w:t xml:space="preserve"> apakšpunktā izstrādāto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izmaksas, kas nav noteiktas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iesniedzējs;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nefinansē no publiskajiem resursiem, ja paredzēts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iesniegumā paredzēta jauna pašvaldības vai valsts muzeja izveide, plānotās investīcijas atbilst nosacījumam, ka sociālekonomiskie ieguvumi no jaunizveidotā muzeja ir lielāki par objekta uzturēšanas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iesniegumā plānotās izmaksas nesedz ar izmaksām, kas paredzētas darbības programmas "Izaugsme un nodarbinātība" citu specifisko atbalsta mērķu vai citu ārvalstu finanšu palīdzības instrumentu aktivitāšu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privātā finansējuma. Ja projekta iesniedzējs un sadarbības partneris veic saimniecisko darbību un atbalsta sniegšana tam specifiskā atbalsta ietvaros ir kvalificējama kā valsts atbalsts komercdarbībai, projekta iesniedzējs un sadarbības partneris privāto finansējumu nodrošina no tādiem komerciāliem vai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Valsts atbalsta komercdarbībai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Valsts atbalstu komercdarbībai šo noteikumu ietvaros sniedz saskaņā ar Komisijas regulas Nr.  </w:t>
      </w:r>
      <w:r w:rsidR="00000000" w:rsidRPr="00000000" w:rsidDel="00000000">
        <w:rPr>
          <w:rtl w:val="0"/>
        </w:rPr>
        <w:t xml:space="preserve">651/2014</w:t>
      </w:r>
      <w:r w:rsidR="00000000" w:rsidRPr="00000000" w:rsidDel="00000000">
        <w:rPr>
          <w:rtl w:val="0"/>
        </w:rPr>
        <w:t xml:space="preserve"> 53.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Projektam netiek piemēroti Komisijas regulas Nr. 651/2014 53. panta nosacījumi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nav saistīts ar saimnieciskās darbības veikšanu jeb izveidotās infrastruktūras amortizācijas periodā (projekta dzīves cikla laikā)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Valsts atbalstu komercdarbībai projekta iesniedzējam un sadarbības partnerim piešķir saskaņā ar Komisijas regulu Nr.  </w:t>
      </w:r>
      <w:r w:rsidR="00000000" w:rsidRPr="00000000" w:rsidDel="00000000">
        <w:rPr>
          <w:rtl w:val="0"/>
        </w:rPr>
        <w:t xml:space="preserve">651/2014</w:t>
      </w:r>
      <w:r w:rsidR="00000000" w:rsidRPr="00000000" w:rsidDel="00000000">
        <w:rPr>
          <w:rtl w:val="0"/>
        </w:rPr>
        <w:t xml:space="preserve">, ja ievēroti visi šajā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Komisijas regulas Nr.  </w:t>
      </w:r>
      <w:r w:rsidR="00000000" w:rsidRPr="00000000" w:rsidDel="00000000">
        <w:rPr>
          <w:rtl w:val="0"/>
        </w:rPr>
        <w:t xml:space="preserve">651/2014</w:t>
      </w:r>
      <w:r w:rsidR="00000000" w:rsidRPr="00000000" w:rsidDel="00000000">
        <w:rPr>
          <w:rtl w:val="0"/>
        </w:rPr>
        <w:t xml:space="preserve"> 53. panta 2. punkta "a" vai "b" apakšpunktā norādītajiem mērķiem un darbībām un ir ievēroti Komisijas regulas Nr.  </w:t>
      </w:r>
      <w:r w:rsidR="00000000" w:rsidRPr="00000000" w:rsidDel="00000000">
        <w:rPr>
          <w:rtl w:val="0"/>
        </w:rPr>
        <w:t xml:space="preserve">651/2014</w:t>
      </w:r>
      <w:r w:rsidR="00000000" w:rsidRPr="00000000" w:rsidDel="00000000">
        <w:rPr>
          <w:rtl w:val="0"/>
        </w:rPr>
        <w:t xml:space="preserve"> 1. panta 2. punkta "c" un "d" apakšpunktā, 1. panta 3. punktā un 1. panta 4. punkta "a" apakšpunktā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projekta ietvaros piešķirtais atbalsts nepārsniedz 150 miljonus </w:t>
      </w:r>
      <w:r w:rsidR="00000000" w:rsidRPr="00000000" w:rsidDel="00000000">
        <w:rPr>
          <w:i w:val="1"/>
          <w:rtl w:val="0"/>
        </w:rPr>
        <w:t xml:space="preserve">euro</w:t>
      </w:r>
      <w:r w:rsidR="00000000" w:rsidRPr="00000000" w:rsidDel="00000000">
        <w:rPr>
          <w:rtl w:val="0"/>
        </w:rPr>
        <w:t xml:space="preserve"> atbilstoši Komisijas regulas Nr.  </w:t>
      </w:r>
      <w:r w:rsidR="00000000" w:rsidRPr="00000000" w:rsidDel="00000000">
        <w:rPr>
          <w:rtl w:val="0"/>
        </w:rPr>
        <w:t xml:space="preserve">651/2014</w:t>
      </w:r>
      <w:r w:rsidR="00000000" w:rsidRPr="00000000" w:rsidDel="00000000">
        <w:rPr>
          <w:rtl w:val="0"/>
        </w:rPr>
        <w:t xml:space="preserve"> 4. panta 1. punkta "z" apakšpunktā noteiktai paziņošanas robežvērtībai ieguldījumu atbalstam kultūrai;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53. pantu vienam vai vairākiem 53. panta 2. punkta "a" un "b" apakšpunktā minētajiem mērķiem vai darbībām,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Komisijas regulas Nr.  </w:t>
      </w:r>
      <w:r w:rsidR="00000000" w:rsidRPr="00000000" w:rsidDel="00000000">
        <w:rPr>
          <w:rtl w:val="0"/>
        </w:rPr>
        <w:t xml:space="preserve">651/2014</w:t>
      </w:r>
      <w:r w:rsidR="00000000" w:rsidRPr="00000000" w:rsidDel="00000000">
        <w:rPr>
          <w:rtl w:val="0"/>
        </w:rPr>
        <w:t xml:space="preserve"> 53. panta 10. punktā minētajām nozarēm;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ievēroti Komisijas regulas Nr.  </w:t>
      </w:r>
      <w:r w:rsidR="00000000" w:rsidRPr="00000000" w:rsidDel="00000000">
        <w:rPr>
          <w:rtl w:val="0"/>
        </w:rPr>
        <w:t xml:space="preserve">651/2014</w:t>
      </w:r>
      <w:r w:rsidR="00000000" w:rsidRPr="00000000" w:rsidDel="00000000">
        <w:rPr>
          <w:rtl w:val="0"/>
        </w:rPr>
        <w:t xml:space="preserve"> 1. panta 5. punkta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ievērots nosacījums, ka vismaz 80 procentus no infrastruktūras gada jaudas laika vai platības izteiksmē izmanto kultūras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27.02.2018. noteikumiem Nr. 118)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Atbalstītajā objektā šo noteikumu 53.1. apakšpunktā minētajā gadījumā ir pieļaujams veikt papildpakalpojumus, kuriem nebūtu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Valsts atbalstu šo noteikumu ietvaros drīkst apvienot ar citu valsts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17.</w:t>
      </w:r>
      <w:r w:rsidR="00000000" w:rsidRPr="00000000" w:rsidDel="00000000">
        <w:rPr>
          <w:rtl w:val="0"/>
        </w:rPr>
        <w:t xml:space="preserve"> punktā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iestāde atbalstītajā objektā konstatē valsts atbalstu komercdarbībai,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Lēmumu par atbalsta piešķiršanu saskaņā ar Komisijas regulu Nr. 651/2014 var pieņemt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nodrošina Komisijas regulas Nr.  </w:t>
      </w:r>
      <w:r w:rsidR="00000000" w:rsidRPr="00000000" w:rsidDel="00000000">
        <w:rPr>
          <w:rtl w:val="0"/>
        </w:rPr>
        <w:t xml:space="preserve">651/2014</w:t>
      </w:r>
      <w:r w:rsidR="00000000" w:rsidRPr="00000000" w:rsidDel="00000000">
        <w:rPr>
          <w:rtl w:val="0"/>
        </w:rPr>
        <w:t xml:space="preserve"> 9. panta 1. un 4. punktā noteiktos publicitātes pasākumus.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iestāde nodrošina Komisijas regulas Nr.  </w:t>
      </w:r>
      <w:r w:rsidR="00000000" w:rsidRPr="00000000" w:rsidDel="00000000">
        <w:rPr>
          <w:rtl w:val="0"/>
        </w:rPr>
        <w:t xml:space="preserve">651/2014</w:t>
      </w:r>
      <w:r w:rsidR="00000000" w:rsidRPr="00000000" w:rsidDel="00000000">
        <w:rPr>
          <w:rtl w:val="0"/>
        </w:rPr>
        <w:t xml:space="preserve"> 12. panta 1. punktā noteikto nosacījumu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27.02.2018. noteikumu Nr. 118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Sadarbības iestāde nodrošina projekta uzraudzību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27.02.2018. noteikumu Nr. 118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Projekta pārskata periodā (projekta dzīves cikla laikā) finansējuma saņēmējs reizi gadā līdz kārtējā gada 1. jūnijam sadarbības iestādē iesniedz informāciju, kas nepieciešama, lai izvērtētu, vai projekts atbilst šo noteikumu 53.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14.09.2021. noteikumu Nr. 626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ir pārkāptas Komisijas regulas Nr. 651/2014 prasības vai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sadarbības iestādei atmaksāt saņemto nelikumīgo komercdarbības atbalstu no līdzekļiem, kas ir brīvi no valsts atbalsta, atbilstoši Komercdarbības atbalsta kontroles likuma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14.01.2020. noteikumu Nr. 30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22-TA-2455</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22-TA-2455</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noteikumu_konsolidētā_versija_22-TA-2455.docx</dc:title>
</cp:coreProperties>
</file>

<file path=docProps/custom.xml><?xml version="1.0" encoding="utf-8"?>
<Properties xmlns="http://schemas.openxmlformats.org/officeDocument/2006/custom-properties" xmlns:vt="http://schemas.openxmlformats.org/officeDocument/2006/docPropsVTypes"/>
</file>