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Papildu nosacījumi pretendentiem, kas pārstāv plašsaziņas līdzekļus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periodiskais izdevums), kurš iznāk ne retāk kā 4 reizes gadā un kura katra tirāža pārsniedz:</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nacionāla mēroga periodiskajiem izdevumiem – 5000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nacionāla mēroga periodiskajiem izdevumiem uzņēmējdarbības jomā – 2000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 reģionālajiem periodiskajiem izdevumiem – 2000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Raidījumi televīzijā vai radio atbilst šādiem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veltīti atbilstošai tematikai;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minūtes (neskaitot reklāmas pauzes), vai raidījumi tiek veidoti kā vismaz 60 sekunžu ilgas meža nozares aktuālo tematu rubrikas;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raidījums pēc tā pārraidīšanas ir pieejams bez maksas tīmekļvietnē(-ēs) vismaz vienu gadu pēc projekta īstenošanas laika beigām;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20 000 skatītāju (klausītāju) vienam raidījumam, un ir pieejami (var tikt uzrādīti) auditorijas mērījuma dati.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Publikācijas tīmekļvietnēs atbilst šādiem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200 000 mēnesī;</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i w:val="1"/>
          <w:rtl w:val="0"/>
        </w:rPr>
        <w:t xml:space="preserve"> NACE </w:t>
      </w:r>
      <w:r w:rsidR="00000000" w:rsidRPr="00000000" w:rsidDel="00000000">
        <w:rPr>
          <w:rtl w:val="0"/>
        </w:rPr>
        <w:t xml:space="preserve">2.1 red. kodi 58.12, 58.13, 60.39, 59.11, 60.10, 60.20 un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noteikumu_konsolidētā_versija_p5_26-TA-13.docx</dc:title>
</cp:coreProperties>
</file>

<file path=docProps/custom.xml><?xml version="1.0" encoding="utf-8"?>
<Properties xmlns="http://schemas.openxmlformats.org/officeDocument/2006/custom-properties" xmlns:vt="http://schemas.openxmlformats.org/officeDocument/2006/docPropsVTypes"/>
</file>