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11. martā (prot. Nr. 14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04.00.00 "Latvijas prezidentūras Eiropas Savienības Padomē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65. pantu, atbalstīt apropriācijas pārdali 2026. gadā 2 109 440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04.00.00 "Latvijas prezidentūras Eiropas Savienības Padomē nodrošināšana" uz Ārlietu ministrijas budžeta apakšprogrammu 96.03.00 "Latvijas prezidentūras Eiropas Savienības Padomē nodrošināšana (ministrijas pasākumi)", lai nekustamajā īpašumā </w:t>
      </w:r>
      <w:r w:rsidR="00000000" w:rsidRPr="00000000" w:rsidDel="00000000">
        <w:rPr>
          <w:i w:val="1"/>
          <w:rtl w:val="0"/>
        </w:rPr>
        <w:t xml:space="preserve">Avenue des Arts 23, </w:t>
      </w:r>
      <w:r w:rsidR="00000000" w:rsidRPr="00000000" w:rsidDel="00000000">
        <w:rPr>
          <w:rtl w:val="0"/>
        </w:rPr>
        <w:t xml:space="preserve">1000 Briselē, Beļģijas Karalistē, veiktu tehniskos darbus – pārbūvētu elektroapgādes sistēmu un pilnveidotu ugunsdrošības un energoefektivitātes risinājumus, nodrošinot elektroapgādes nepārtrauktību un serveru telpu atbilstību tehniskajām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normatīvajos aktos noteiktajā kārtībā sagatavot un iesniegt Finanšu ministrijā pieprasījumu valsts budžeta apropriācijas pārdalei atbilstoši šā rīkojuma 1. punktam.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B. Braže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26-TA-68</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26-TA-68</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rīkojuma_projekts_26-TA-68.docx</dc:title>
</cp:coreProperties>
</file>

<file path=docProps/custom.xml><?xml version="1.0" encoding="utf-8"?>
<Properties xmlns="http://schemas.openxmlformats.org/officeDocument/2006/custom-properties" xmlns:vt="http://schemas.openxmlformats.org/officeDocument/2006/docPropsVTypes"/>
</file>