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5.1 prioritātes “Reģionu līdzsvarota attīstība”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likums</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5.1 prioritātes “Reģionu līdzsvarota attīstība” 5.1.1. specifiskā atbalsta mērķa “Vietējās teritorijas integrētās sociālās, ekonomiskās un vides attīstības un kultūras mantojuma, tūrisma un drošības veicināšana pilsētu funkcionālajās teritorijās”  (turpmāk - specifiskais atbalsta mērķis) 5.1.1.3. pasākumu “Publiskās ārtelpas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kopējo finansējumu un katram plānošanas reģionam pieejamo finansējumu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un projekta sadarbības partneriem (ja tos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 katra plānošanas reģiona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īstenošanu nodrošina Vides aizsardzības un reģionālās attīstības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iestādes funkcijas veic Centrālā finanšu un līgumu aģentūra (turpmāk – sadarbības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mērķis ir publiskās ārtelpas attīstīšana pilsētu funkcionālajās teritorijās, uzlabojot dzīves vides kvalitāti un palielinot sabiedrības drošību.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Publiskā ārtelpa šo noteikumu izpratnē ir sabiedrībai brīvi vai daļēji pieejamas teritorijas un telpas, ko veido bulvāri, laukumi, publisku ēku pagalmi, pasāžas, krastmalas, promenādes, parki, mežaparki, skvēri, publiskie ūdeņi un citas vietas, kas nodotas publiskai lietošanai.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mērķgrupa ir nacionālas un reģionālas nozīmes attīstības centru un to funkcionālo teritoriju pašvaldības, plānošanas reģioni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līdz 2029.gada 31.decembrim,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atbalstītas piecas integrētas teritoriālās attīstības stratēģijas;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noteiktais iznākuma rādītājs ir sasniegts, ja apstiprināta rādītāju sasniegšana vismaz vienā projektā, kas īstenots specifiskā atbalsta mērķa  ietvaros, balstoties uz integrēto teritorijas attīstības stratēģiju – plānošanas reģiona attīstības programmu un tai pakārtotu vietējās pašvaldības attīstības programmu.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noteiktais rezultāta rādītājs ir sasniegts, kad finansējuma saņēmējs sadarbības iestādei ir iesniedzis pamatojošos dokumentus par projektā plānoto šo noteikumu </w:t>
      </w:r>
      <w:r w:rsidR="00000000" w:rsidRPr="00000000" w:rsidDel="00000000">
        <w:rPr>
          <w:rtl w:val="0"/>
        </w:rPr>
        <w:t xml:space="preserve">25.1.</w:t>
      </w:r>
      <w:r w:rsidR="00000000" w:rsidRPr="00000000" w:rsidDel="00000000">
        <w:rPr>
          <w:rtl w:val="0"/>
        </w:rPr>
        <w:t xml:space="preserve">,</w:t>
      </w:r>
      <w:r w:rsidR="00000000" w:rsidRPr="00000000" w:rsidDel="00000000">
        <w:rPr>
          <w:rtl w:val="0"/>
        </w:rPr>
        <w:t xml:space="preserve">25.2.</w:t>
      </w:r>
      <w:r w:rsidR="00000000" w:rsidRPr="00000000" w:rsidDel="00000000">
        <w:rPr>
          <w:rtl w:val="0"/>
        </w:rPr>
        <w:t xml:space="preserve"> vai </w:t>
      </w:r>
      <w:r w:rsidR="00000000" w:rsidRPr="00000000" w:rsidDel="00000000">
        <w:rPr>
          <w:rtl w:val="0"/>
        </w:rPr>
        <w:t xml:space="preserve">25.3. </w:t>
      </w:r>
      <w:r w:rsidR="00000000" w:rsidRPr="00000000" w:rsidDel="00000000">
        <w:rPr>
          <w:rtl w:val="0"/>
        </w:rPr>
        <w:t xml:space="preserve">apakšpunktā</w:t>
      </w:r>
      <w:r w:rsidR="00000000" w:rsidRPr="00000000" w:rsidDel="00000000">
        <w:rPr>
          <w:rtl w:val="0"/>
        </w:rPr>
        <w:t xml:space="preserve"> noteikto darbību pabeigšanu.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noteikto, plānošanas reģiona pārstāvis piedalās projektu iesniegumu vērtēšanas komisijā.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plānotais finansējums ir ne mazāks kā 27 840 000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23 664 000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4 176 000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ERAF finansējums 2 224 416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ERAF finansējums 4 496 160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ERAF finansējums 5 064 096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ERAF finansējums 5 277 072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ERAF finansējums 6 602 256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Atbalsta intensitāte projekta iesniegumā norādītajai attiecināmajai izmaksu pozīcijai nepārsniedz 85 procentus ERAF finansējuma no attiecīgās izmaksu pozīcijas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w:t>
      </w:r>
      <w:r w:rsidR="00000000" w:rsidRPr="00000000" w:rsidDel="00000000">
        <w:rPr>
          <w:i w:val="1"/>
          <w:rtl w:val="0"/>
        </w:rPr>
        <w:t xml:space="preserve"> euro</w:t>
      </w:r>
      <w:r w:rsidR="00000000" w:rsidRPr="00000000" w:rsidDel="00000000">
        <w:rPr>
          <w:rtl w:val="0"/>
        </w:rPr>
        <w:t xml:space="preserve">, un projekta iesnieguma maksimālais ERAF finansējums ir 560 000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 (ja to pieaicina)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pasākuma ietvaros var būt pašvaldība, tās izveidota iestāde vai pašvaldības kapitālsabiedrība, kas veic pašvaldības deleģēto pārvaldes uzdevumu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slēdzot rakstisku sadarbības līgumu, par sadarbības partneri var piesaistīt sabiedrisko (ūdenssaimniecības un (vai) siltumapgādes) pakalpojumu sniedzēju ūdenssaimniecības un siltumapgādes pieslēgumu ierīkošanai un to saistītās jaudas palielināšana publiskās tualetes un publiski pieejama dzeramā ūdens ieguves vietas ierīkošanai, vai citiem pasākumiem, kas nepieciešami publiskās ārtelpas attīstīšanai.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partneris – ūdenssaimniecības un (vai) siltumapgādes sabiedrisko pakalpojumu sniedzējs – ar pašvaldību noslēdz pakalpojuma līgumu par ūdenssaimniecības un (vai) siltumapgādes sabiedrisko pakalpojumu sniegšanu. Pakalpojuma līgumā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piešķirtās ekskluzīvās vai īpašās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un (vai) siltumapgādes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sadarbības partneris ir pašvaldības aģentūra, kas ir ūdenssaimniecības un (vai) siltumapgādes sabiedrisko pakalpojumu sniedzējs, tad pašvaldība izdod saistošos noteikumus par ūdenssaimniecības un (vai) siltumapgādes sabiedrisko pakalpojumu sniegšanu. Pašvaldības saistošajos noteikumos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ūdenssaimniecības un (vai) siltumapgādes sabiedrisko pakalpojumu sniegšanā, tai skaitā sniedzamos ūdenssaimniecības sabiedrisko pakalpojumu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(vai) siltumapgādes sabiedrisko pakalpojumu tarifus;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(vai) siltumapgādes sabiedrisko pakalpojumu sniedzējam uzturēt un atjaunot nepieciešamo tehnisko aprīkojumu, lai pakalpojumus varētu sniegt atbilstoši katram pakalpojuma veidam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piešķirtās ekskluzīvās vai īpašās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ūdenssaimniecības un (vai) siltumapgādes sabiedrisko pakalpojumu sniedz pašvaldība vai tās iestāde, pašvaldība pieņem lēmumu par ūdenssaimniecības sabiedrisko pakalpojumu sniegšanu. Lēmumā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(vai) siltumapgādes sabiedriskajiem pakalpojumiem, tai skaitā nepieciešamo infrastruktūru;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Projektā iekļauj šādas atbalstāmās darbības, kas ietver investīcijas publiskās ārtelpas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labiekārtošana un ar to saistītie pasākumi, tai skaitā dzeramā ūdens brīvkrānu ierīkošana un pasākumi, kas veicina oglekļa dioksīda piesaisti;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ūdenssaimniecības un siltumapgādes pieslēgumu ierīkošana un to saistītās jaudas palielināšana publiskās tualetes un publiski pieejama dzeramā ūdens ieguves vietas ierīkošanai, vai citiem pasākumiem, kas nepieciešami publiskās ārtelpas attīstīšanai;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dziļurbuma ierīkošana dzeramā ūdens padeves nodrošināšanai, ja pieslēgšanās centralizētajai ūdensapgādes sistēmai nav iespējama;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būvuzraudzības, autoruzraudzības, būvprojekta tehniskā projekta vai skiču projekta stadijā izmaksas, energosertifikācijas un energoaudita izmaksas kopā ir attiecināmas līdz 10 procentiem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dūņu pārstrādi un apsaimniekošanu), siltumapgādes un elektroenerģijas infrastruktūras būvniecība vai pārbūve (jaudas palielināšana) publiskās tualetes un publiski pieejama dzeramā ūdens ieguves vietas (brīvkrāna) ierīkošanai vai citiem pasākumiem, kas nepieciešami publiskās ārtelpas attīstīšanai, piemēram,  apgaismojuma, videonovērošanas un elektrouzlādes punktu ierīkošanai digitālo ierīču uzlādei un mikromobilitātes  atbalstam (izņemot bezemisiju transportlīdzekļa darbībai paredzētās uzlādes infrastruktūras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ārtelpas labiekārtošana, ietverot “zaļās” un “zilās” infrastruktūras attīstību,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graustu demontāža un teritorijas attīrīšana;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vājstrāvu tīklu izbūve vai esošo vājstrāvu tīklu pārbūve, kas nepieciešama projekta teritorijas labiekārtošanai un drošības nodrošināšanai, tai skaitā apgaismojumam, videonovērošanai un elektrouzlādes punktu ierīkošana digitālo ierīču uzlādei un mikromobilitātes atbalstam;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ir attiecināmas līdz 30 procentiem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krastu nostiprināšana un labiekārtošana pie publiskajiem ūdeņiem, tai skaitā peldvietās;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gājēju kustībai nepieciešamā infrastruktūra, ievērojot universālā dizaina principus, un velosipēdu ceļi, kas ir parka, skvēra, promenādes vai citas projekta ietvaros attīstāmās teritorijas daļa, vai nodrošina piekļuvi publiskajiem ūdeņiem;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lietusūdeņu savākšanas un novadīšanas sistēmas, tai skaitā ūdenscaurlaidīgi segumi ietvēm, laukumiem,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videi draudzīgs apgaismojums, tai skaitā inovatīvi apgaismojuma risinājumi, kas ietver atjaunojamos energoresursus izmantojošas enerģiju ražojošas iekārtas, un viedo tehnoloģiju iegāde un uzstādīšana, ievērojot, ka 100 procenti no gadā saražotās enerģijas tiek izmantoti pašpatēriņam;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dzeramā ūdens brīvkrāna ierīkošana;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žogi, tai skaitā dzīvžogi, "zaļās" sienas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"zaļās" salas);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soliņi un galdi lietošanai ārtelpā;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velosipēdu novietnes;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atkritumu šķirošanas tvertnes, tai skaitā pazemē iebūvētas tvertnes;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labiekārtojuma elementu uzstādīšanas izmaksas ir attiecināmas līdz 10 procentiem no projekta kopējām attiecināmajām izmaksām, tai skaitā vizuālās mākslas un dizaina objektu izmaksas, ja tie vienlaikus ir arī funkcionāli izmantojami;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citi labiekārtošanas darbi, piemēram, rotaļlaukumu izveide, brīvdabas sporta rīku izvietošana, elektrouzlādes punktu ierīkošana digitālo ierīču uzlādei un mikromobilitātes  atbalstam.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virszemes un pazemes komunikāciju infrastruktūras pārbūve, nepalielinot tās apkalpes jaudu raksturojošos tehniskos parametrus, ja, veicot projektā plānotās teritorijas labiekārtošanas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fondu ieviešanā 2021.-2027. gada plānošanas periodā nodrošināma komunikācijas un vizuālās identitātes prasību 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personāla atlīdzības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25.3.2. </w:t>
      </w:r>
      <w:r w:rsidR="00000000" w:rsidRPr="00000000" w:rsidDel="00000000">
        <w:rPr>
          <w:rtl w:val="0"/>
        </w:rPr>
        <w:t xml:space="preserve">apakšpunktā</w:t>
      </w:r>
      <w:r w:rsidR="00000000" w:rsidRPr="00000000" w:rsidDel="00000000">
        <w:rPr>
          <w:rtl w:val="0"/>
        </w:rPr>
        <w:t xml:space="preserve"> minētās izmaksas ir attiecināmas, ja pēc ieguldījumu veikšanas vājstrāvu tīkli, apgaismojuma elementi, videonovērošanas kameras un elektrouzlādes punktu aprīkojums paliek finansējuma saņēmēja īpašumā.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minētās atbalstāmās darbības attiecināmās izmaksas plāno kā vienu izmaksu pozīciju, piemērojot vienoto izmaksu likmi 20 procentu apmērā no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minētajām tiešajām attiecināmajām izmaksām, kas neietver šo noteikumu </w:t>
      </w:r>
      <w:r w:rsidR="00000000" w:rsidRPr="00000000" w:rsidDel="00000000">
        <w:rPr>
          <w:rtl w:val="0"/>
        </w:rPr>
        <w:t xml:space="preserve">25.7. </w:t>
      </w:r>
      <w:r w:rsidR="00000000" w:rsidRPr="00000000" w:rsidDel="00000000">
        <w:rPr>
          <w:rtl w:val="0"/>
        </w:rPr>
        <w:t xml:space="preserve">apakšpunktā</w:t>
      </w:r>
      <w:r w:rsidR="00000000" w:rsidRPr="00000000" w:rsidDel="00000000">
        <w:rPr>
          <w:rtl w:val="0"/>
        </w:rPr>
        <w:t xml:space="preserve"> minētās tiešās attiecināmās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administratīvās izmaksas, kuras plāno kā vienu izmaksu pozīciju, piemērojot netiešo izmaksu vienoto likmi 15 procentu apmērā no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minētās elektroenerģijas un ūdenssaimniecības infrastruktūras izmaksas ir attiecināmas, ja atbalstītie infrastruktūras objekti pēc projekta īstenošanas ir attiecīgi sadales sistēmas operatora vai sabiedrisko pakalpojumu sniedzēju īpašumā.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informēt sadarbības iestādi par enerģijas patēriņu (megavatstundas) trīs gadus pēc projekta īstenošanas.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rādītājiem (ja attiecināms) un ievēro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Jaunā Eiropas Bauhaus principus: estētika, ilgtspēja, iekļautība, tai skaitā, nodrošinot publiskās ārtelpas attīstības risinājumu iekļaušanos apkārtējā ainavā, dabā balstīto risinājumu, universālā dizaina principu ievērošanu;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 rezultāta rādītāja vērtības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lai pasākuma ietvaros plānotais atbalsts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Eiropas Parlamenta un Padomes 2021. gada 24. jūnija Regulu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ne retāk kā reizi trijos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ietvaros ieguldījumus infrastruktūrā, izņemot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gadījumu par elektroenerģijas infrastruktūras īpašumtiesībām, var veikt: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 sadarbības partnera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ja īpašuma turējuma tiesības projekta iesniedzējs ir ieguvis uz termiņu, kas nav īsāks par pieciem gadiem no projekta noslēguma maksājuma veikšanas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Īpašuma vai turējuma tiesības attiecībā uz atbalstītajiem infrastruktūras objektiem nemaina,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50 procentiem no projektam piešķirtā ERAF finansējuma pēc civiltiesiskā līguma vai vienošanās par projekta īstenošanu noslēgšanas.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ietvaros netiek atbalstītas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finansējuma saņēmējam tiek sniegts valsts atbalsts saskaņā ar </w:t>
      </w:r>
      <w:r w:rsidR="00000000" w:rsidRPr="00000000" w:rsidDel="00000000">
        <w:rPr>
          <w:rtl w:val="0"/>
        </w:rPr>
        <w:t xml:space="preserve">Eiropas Komisijas 2011. gada 20. decembra lēmumu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 valsts atbalsta saņēmējs un vispārējas tautsaimnieciskas nozīmes pakalpojuma pilnvarojuma uzlicējs nodrošina dokumentu glabāšanu 10 gadus pēc pilnvarojuma termiņa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projektā tiek iekļautas darbības, kas ir saistītas ar sabiedriskā pakalpojuma sniegšanu, projekta iesniedzējs vai finansējuma saņēmējs iesniedz sadarbības iestādē vispārējas tautsaimnieciskas nozīmes pakalpojuma pilnvarojuma uzlicēja apliecinājumu par šo noteikumu </w:t>
      </w:r>
      <w:r w:rsidR="00000000" w:rsidRPr="00000000" w:rsidDel="00000000">
        <w:rPr>
          <w:rtl w:val="0"/>
        </w:rPr>
        <w:t xml:space="preserve">21.6.</w:t>
      </w:r>
      <w:r w:rsidR="00000000" w:rsidRPr="00000000" w:rsidDel="00000000">
        <w:rPr>
          <w:rtl w:val="0"/>
        </w:rPr>
        <w:t xml:space="preserve"> vai </w:t>
      </w:r>
      <w:r w:rsidR="00000000" w:rsidRPr="00000000" w:rsidDel="00000000">
        <w:rPr>
          <w:rtl w:val="0"/>
        </w:rPr>
        <w:t xml:space="preserve">22.7. </w:t>
      </w:r>
      <w:r w:rsidR="00000000" w:rsidRPr="00000000" w:rsidDel="00000000">
        <w:rPr>
          <w:rtl w:val="0"/>
        </w:rPr>
        <w:t xml:space="preserve">apakšpunktā</w:t>
      </w:r>
      <w:r w:rsidR="00000000" w:rsidRPr="00000000" w:rsidDel="00000000">
        <w:rPr>
          <w:rtl w:val="0"/>
        </w:rPr>
        <w:t xml:space="preserve"> minētās atlīdzības (kompensācijas) maksājumu kontroli un pārskatīšanu, kā arī atlīdzības (kompensācijas) maksājumu pārmaksas novēršanu un atgūšanu, ievērojot </w:t>
      </w:r>
      <w:r w:rsidR="00000000" w:rsidRPr="00000000" w:rsidDel="00000000">
        <w:rPr>
          <w:rtl w:val="0"/>
        </w:rPr>
        <w:t xml:space="preserve">Eiropas Komisijas 2011. gada 20. decembra lēmumā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w:t>
      </w:r>
      <w:r w:rsidR="00000000" w:rsidRPr="00000000" w:rsidDel="00000000">
        <w:rPr>
          <w:rtl w:val="0"/>
        </w:rPr>
        <w:t xml:space="preserve">Eiropas Komisijas 2011. gada 20. decembra lēmumā Nr. 2012/21/ES par Līguma par Eiropas Savienības darbību 106. panta</w:t>
      </w:r>
      <w:r w:rsidR="00000000" w:rsidRPr="00000000" w:rsidDel="00000000">
        <w:rPr>
          <w:rtl w:val="0"/>
        </w:rPr>
        <w:t xml:space="preserve">  2. punkta piemērošanu valsts atbalstam attiecībā uz kompensāciju par sabiedriskajiem pakalpojumiem dažiem uzņēmumiem, kuriem uzticēts sniegt pakalpojumus ar vispārēju tautsaimniecisku nozīmi,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 un veic sociāli atbildīgu iepirkumu.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22-TA-3340</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22-TA-3340</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noteikumu_projekts_22-TA-3340.docx</dc:title>
</cp:coreProperties>
</file>

<file path=docProps/custom.xml><?xml version="1.0" encoding="utf-8"?>
<Properties xmlns="http://schemas.openxmlformats.org/officeDocument/2006/custom-properties" xmlns:vt="http://schemas.openxmlformats.org/officeDocument/2006/docPropsVTypes"/>
</file>