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25. oktobrī (prot. Nr. 54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24. maija noteikumos Nr. 323 "Darbības programmas "Izaugsme un nodarbinātība" 8.1.2. specifiskā atbalsta mērķa "Uzlabot vispārējās izglītības iestāžu mācību vidi"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w:t>
      </w:r>
      <w:r>
        <w:br/>
      </w:r>
      <w:r w:rsidR="00000000" w:rsidRPr="00000000" w:rsidDel="00000000">
        <w:rPr>
          <w:rStyle w:val="paragraph"/>
          <w:i w:val="1"/>
          <w:rtl w:val="0"/>
        </w:rPr>
        <w:t xml:space="preserve">struktūrfondu un Kohēzijas fonda </w:t>
      </w:r>
      <w:r>
        <w:br/>
      </w:r>
      <w:r w:rsidR="00000000" w:rsidRPr="00000000" w:rsidDel="00000000">
        <w:rPr>
          <w:rStyle w:val="paragraph"/>
          <w:i w:val="1"/>
          <w:rtl w:val="0"/>
        </w:rPr>
        <w:t xml:space="preserve">2014.–2020. gada plānošanas perioda </w:t>
      </w:r>
      <w:r>
        <w:br/>
      </w:r>
      <w:r w:rsidR="00000000" w:rsidRPr="00000000" w:rsidDel="00000000">
        <w:rPr>
          <w:rStyle w:val="paragraph"/>
          <w:i w:val="1"/>
          <w:rtl w:val="0"/>
        </w:rPr>
        <w:t xml:space="preserve">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24. maija noteikumos Nr. 323 "Darbības programmas "Izaugsme un nodarbinātība" 8.1.2. specifiskā atbalsta mērķa "Uzlabot vispārējās izglītības iestāžu mācību vidi" īstenošanas noteikumi" (Latvijas Vēstnesis, 2016, 106. nr.; 2017, 107. nr.; 2020, 160. nr.; 2021, 66., 227.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Eiropas Savienības struktūrfondu un Kohēzijas fonda 2014.–2020. gada plānošanas perioda vadības likuma 20. panta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26.2.10.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"26.2.10. šo noteikumu 26.2.1. apakšpunktā minētās ēkas būvniecības vai pārbūves vai šo noteikumu 26.2.7. apakšpunktā minētās sporta zāles būvniecības būvprojektā norādītās labiekārtošanas izmaksas, kas nepārsniedz trīs procentus no projektā plānotajām būvdarbu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Lai atbalsts projekta īstenošanai netiktu kvalificēts kā komercdarbības atbalsts, projekta īstenošanas rezultātā attīstītajā infrastruktūrā (tai skaitā sporta infrastruktūrā, dienesta viesnīcā (internātā)) pamatlīdzekļu un ilgtermiņa ieguldījumu amortizācijas periodā ir pieļaujams veikt papildinošu saimniecisko darbību 20 procentu apmērā no infrastruktūras gada jaudas platības laika vai finanšu izteiksmē un ir pieļaujams sniegt papildpakalpojumus. Ar papildinošu saimniecisko darbību saprot darbības, kas ir tieši saistītas ar infrastruktūras ekspluatāciju un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Sadarbības iestāde projekta īstenošanas laikā un projekta infrastruktūras amortizācijas periodā nodrošina uzraudzību par investīciju atbilstību šo noteikumu 47.</w:t>
      </w:r>
      <w:r w:rsidR="00000000" w:rsidRPr="00000000" w:rsidDel="00000000">
        <w:rPr>
          <w:vertAlign w:val="superscript"/>
          <w:rtl w:val="0"/>
        </w:rPr>
        <w:t xml:space="preserve">1</w:t>
      </w:r>
      <w:r w:rsidR="00000000" w:rsidRPr="00000000" w:rsidDel="00000000">
        <w:rPr>
          <w:rtl w:val="0"/>
        </w:rPr>
        <w:t xml:space="preserve"> punktā minētajiem nosacījumiem saskaņā ar atbildīgās iestādes izstrādāto papildinošās saimnieciskās darbības uzraudzības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w:t>
      </w:r>
      <w:r w:rsidR="00000000" w:rsidRPr="00000000" w:rsidDel="00000000">
        <w:rPr>
          <w:rtl w:val="0"/>
        </w:rPr>
        <w:t xml:space="preserve"> Ja sadarbības iestāde konstatē, ka ir pārkāptas šajos noteikumos noteiktās komercdarbības atbalsta kontroles normas, finansējuma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22-TA-2345</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22-TA-2345</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noteikumu_(grozījumu)_projekts_22-TA-2345.docx</dc:title>
</cp:coreProperties>
</file>

<file path=docProps/custom.xml><?xml version="1.0" encoding="utf-8"?>
<Properties xmlns="http://schemas.openxmlformats.org/officeDocument/2006/custom-properties" xmlns:vt="http://schemas.openxmlformats.org/officeDocument/2006/docPropsVTypes"/>
</file>