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novembrī (prot. Nr. 47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Pamatprasības profesionālo doktora studiju programmu mākslās īstenošanā iesaistīto doktora teorētiskā pētījuma un mākslinieciskās jaunrades darba vadītāju zinātniskajai un pedagoģiskajai kvalifikācijai, valsts pārbaudījumu komisijas locekļu kvalifikācijai un valsts pārbaudījumu komisijas izveidei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58.</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ceturto daļu un 58.</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pamatprasības profesionālo doktora studiju programmu mākslās (turpmāk – studiju programma) īstenošanā iesaistīto doktora teorētiskā pētījuma un mākslinieciskās jaunrades darba vadītāju (turpmāk – darba vadītājs) zinātniskajai un pedagoģiskajai kvalifikācijai;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pamatprasības valsts pārbaudījumu komisijas (turpmāk – komisija) locekļu kvalifikācijai un komisijas izveidei.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Pamatprasības darba vadītāja zinātniskajai un pedagoģiskajai kvalifikācijai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Pamatprasības darba vadītāja zinātniskajai kvalifikācijai ir šādas: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rezultāti zinātnes nozarē(-ēs) vai rezultāti Augstskolu likumā noteiktajā studiju programmā īstenojamā mākslinieciskās jaunrades jomā(-ās)  (turpmāk – mākslinieciskās jaunrades joma), kas atbilst doktora teorētiskā pētījuma un mākslinieciskās jaunrades darba (turpmāk – doktora darbs) tēmai un ko apliecina par pēdējiem sešiem gadiem pierādāmi zinātnisko pētījumu rezultāti un citi pētniecības rezultātus raksturojoši rādītāji vai mākslinieciskās jaunrades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pamatprasības, ja augstskola tādas ir noteikusi.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Pamatprasības darba vadītāja pedagoģiskajai kvalifikācijai ir šādas: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pierādāma studējošo pētniecības darba vadīšanas kompetence, ņemot vērā ar doktora darbu saistītās zinātnes nozares(-u) vai mākslinieciskās jaunrades jomas(-u) specifiku;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pamatprasības, ja augstskola tādas ir noteikusi.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Pamatprasības komisijas locekļu kvalifikācijai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Pamatprasības komisijas locekļa kvalifikācijai ir šādas: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kvalifikācija,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minētajām pamatprasībām un kas, ievērojot augstskolas noteikto kārtību, kādā piešķir profesionālo doktora grādu mākslās, ir saistīta ar aizstāvēšanai iesniegtā doktora darba virzienu;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pieredze studējošo izglītošanā, sākot no pirmā cikla augstākās izglītības;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pamatprasības, ja augstskola tādas ir noteikusi.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Pamatprasības komisijas izveidei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Augstskolas doktorantūras skola saskaņā ar Augstskolu likumu, šiem noteikumiem un augstskolas noteikto kārtību, kādā piešķir profesionālo doktora grādu mākslās, vai līgumā (vienošanās) noteikto kārtību, kādā īsteno kopīgo studiju programmu vai kopīgu doktorantūru, organizē komisijas izveidi, ievērojot šādas pamatprasības: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komisiju veido studiju programmas attiecīgajā apakšprogrammā, kas atbilst īstenojamās akreditētas studiju programmas vai tās apakšprogrammas ietvaros iegūstamajam profesionālajam doktora grādam mākslās;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sastāvā iekļauj vismaz piecus komisijas locekļus, kas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pamatprasībām;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divi no komisijas locekļiem ir recenzenti, kas rakstveidā sniedz aizstāvēšanai iesniegtā doktora darba vērtējumu (turpmāk – recenzents);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viens no diviem recenzentiem atbilst vismaz vienai no šādām pamatprasībām: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citas (tostarp ārvalsts) akreditētas augstskolas vai zinātniskās institūcijas akadēmiskā personāla pārstāvis;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ieguvis doktora grādu ārvalstī;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ārvalsts akadēmiskā personāla pārstāvi komisijas sastāvā iekļauj augstskolas noteiktajā kārtībā, kādā piešķir profesionālo doktora grādu mākslās;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ārvalsts akadēmiskā personāla pārstāvju līdzdalību komisijas darbā var nodrošināt klātienē un attālināti, ja to paredz augstskolas noteiktā kārtība, kādā piešķir profesionālo doktora grādu mākslās;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locekli nevar būt: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 doktora grāda mākslās iegūšanas pretendenta (turpmāk – pretendents) radinieks vai darījuma partneris likuma "Par interešu konflikta novēršanu valsts amatpersonu darbībā" izpratnē;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pretendenta tiešā padotībā esoša persona, kura pretendentam sniedz regulāru pārskatu vai ir strukturāli padota pretendentam tajā pašā institūcijā saskaņā ar augstskolas noteikto kārtību, kādā piešķir profesionālo doktora grādu mākslās;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pretendenta darbavietā;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pretendenta zinātnisko publikāciju vai mākslinieciskās jaunrades darbu līdzautors;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augstskola izveido komisiju, kas darbojas pastāvīgi, tās pilnvaru termiņš nepārsniedz sešus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komisija ir izveidota noteikta doktora darba novērtēšanai, tās pilnvaru termiņš ir līdz profesionālā doktora grāda mākslās piešķiršanas dienai vai pilnvaru termiņu nosaka saskaņā ar augstskolas noteikto kārtību, kādā piešķir profesionālo doktora grādu mākslās;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pamatprasības, ja augstskola tādas ir noteikusi;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 darbojas saskaņā ar tās nolikumu, kuru apstiprina augstskola.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Pretendentam ir tiesības augstskolas noteiktajā kārtībā, kādā piešķir profesionālo doktora grādu mākslās, iesniegt argumentētu lūgumu nomainīt iecelto komisijas locekli vai recenzentu.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Noteikumi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25-TA-2084</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25-TA-2084</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noteikumu_projekts_25-TA-2084.docx</dc:title>
</cp:coreProperties>
</file>

<file path=docProps/custom.xml><?xml version="1.0" encoding="utf-8"?>
<Properties xmlns="http://schemas.openxmlformats.org/officeDocument/2006/custom-properties" xmlns:vt="http://schemas.openxmlformats.org/officeDocument/2006/docPropsVTypes"/>
</file>