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10. marta noteikumos Nr. 125 "Valsts un Eiropas Savienības atbalsta piešķiršanas kārtība sabiedrības virzītas vietējās attīstības stratēģiju sagatavošanai un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23-TA-125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