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Mediju politikas pamatnostādņu īstenošanas plāns 2025.–2027.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Mediju politikas pamatnostādņu īstenošanas plānu 2025.–2027.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Kultūras ministriju par atbildīgo institūciju plāna īstenošanā, bet par līdzatbildīgajām institūcijām – Aizsardzības ministriju, Iekšlietu ministriju, Izglītības un zinātnes ministriju, Tieslietu ministriju, Valsts kanceleju, Finanšu ministrija, Sabiedrības integrācijas fondu, Sabiedrisko elektronisko plašsaziņas līdzekļu padomi un Nacionālo elektronisko plašsaziņas līdzekļu padomi – par līdzatbildīgajām institūcijām.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Atbildīgajai institūcijai un līdzatbildīgajām institūcijām plānā paredzēto pasākumu īstenošanu nodrošināt atbilstoši piešķirtajiem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25-TA-123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25-TA-123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