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jūlijā (prot. Nr. 35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3.</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un 3.</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 un 30.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bērniem pirmsskolas izglītības programmās, tai skaitā šo noteikumu 7.1. apakšpunktā minētajiem bērniem, – 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Lai mazinātu pašvaldībām aprēķinātās mērķdotācijas atšķirības, 2023./2024., 2024./2025. un 2025./2026. mācību gadā šo noteikumu 6. punktā norādītais reģionālais koeficients tiek koriģēts un mērķdotācijas aprēķinā ministrija piemēro izlīdzināšanas koeficientu, ko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857250" cy="4191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857250" cy="419100"/>
                    </a:xfrm>
                    <a:prstGeom prst="rect"/>
                    <a:ln/>
                  </pic:spPr>
                </pic:pic>
              </a:graphicData>
            </a:graphic>
          </wp:inline>
        </w:drawing>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pārejas perioda izlīdzināšanas koeficients;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2022./2023. mācību gada mērķdotācijas apmērs, kas iegūts, piemērojot šo noteikumu 23.1. un 23.2.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2022./2023. mācību gada mērķdotācijas apmērs, kas iegūts atbilstoši šo noteikumu regulējumam, nepiemērojot šo noteikumu 6. punktā norādīto reģionālo koeficientu."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22-TA-2096</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22-TA-2096</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noteikumu_(grozījumu)_projekts_22-TA-2096.docx</dc:title>
</cp:coreProperties>
</file>

<file path=docProps/custom.xml><?xml version="1.0" encoding="utf-8"?>
<Properties xmlns="http://schemas.openxmlformats.org/officeDocument/2006/custom-properties" xmlns:vt="http://schemas.openxmlformats.org/officeDocument/2006/docPropsVTypes"/>
</file>