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16. jūnijā (prot. Nr. 33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Iekšlietu digitālā centra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pārvaldes</w:t>
      </w:r>
      <w:r>
        <w:br/>
      </w:r>
      <w:r w:rsidR="00000000" w:rsidRPr="00000000" w:rsidDel="00000000">
        <w:rPr>
          <w:rStyle w:val="paragraph"/>
          <w:i w:val="1"/>
          <w:rtl w:val="0"/>
        </w:rPr>
        <w:t xml:space="preserve">iekārtas likuma 16. panta pirmo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digitālais centrs (turpmāk – centrs) ir iekšlietu ministra pakļautībā esoša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 darbības mērķis ir nodrošināt Iekšlietu ministriju (turpmāk – ministrija) un tās padotībā esošās iestādes, kā arī citas iestādes atbilstoši normatīvo aktu prasībām un tādā apjomā, kādu nosaka saskaņā ar attiecīgo iestādi noslēgtā vienošanās, ar informācijas un komunikācijas tehnoloģiju risinājumiem un ar tiem saistīto informācijas un komunikācijas tehnoloģiju infrastruktūru, radiosakaru un privāto elektronisko sakaru tīklu sistēmām (turpmāk – sakaru sistēmas) un ar šo informācijas un komunikācijas tehnoloģiju risinājumu pārvaldību saistītajiem pakalpojumiem.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Centra funkcijas un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Centram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un vadīt centra pārziņā esošo informācijas sistēmu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uzturēt citu iestāžu, tostarp ārpus iekšlietu nozares esošo iestāžu, informācijas un komunikācijas tehnoloģiju risinājumus atbilstoši normatīvo aktu prasībām, kas nosaka centra pienākumus informācijas un komunikācijas tehnoloģiju jomā, un tādā apjomā, kādu nosaka saskaņā ar attiecīgo iestādi noslēgtā vienošanās;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uzturēt un attīstīt centra pārziņā esošo informācijas un komunikācijas tehnoloģiju infrastruktūru, informācijas un sakaru sistēmas;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ministrijas un tās padotībā esošo iestāžu ilgstoši un pastāvīgi glabājamo lietu (dokumentu un datu) un Ieslodzījuma vietu pārvaldes izbeigto krimināllietu uzkrāšanu, uzskaiti, izmantošanu un saglabāšanu līdz to nodošanai valsts glabāšanā Latvijas Nacionālajā arhīvā vai uz laiku glabājamiem dokumentiem – līdz tiem noteiktā glabāšanas termiņa beigām un iznīcināšanai;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koordinēt un standartizēt informācijas un komunikācijas tehnoloģiju risinājumus ministrijā un tās padotībā esošajās iestādēs, lai nodrošinātu vienotu tehnoloģisko vidi un efektīvu resursu izmantošanu.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īstenotu noteiktās funkcijas, centrs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uztur informācijas un komunikācijas tehnoloģiju risinājumus, lai nodrošinātu centra informācijas un komunikācijas tehnoloģiju infrastruktūrā izvietoto informācijas sistēmu nepārtrauktu darbību un aizsardzību;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atbalstu lietotājiem darbā ar centra pārziņā esošiem informācijas un komunikācijas tehnoloģiju risinājumiem, kā arī piedalās atbalsta pakalpojumu sniegšanā citām nozares iestādēm, nodrošinot nepieciešamos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apstrādā un sniedz statistisko informāciju centra darbības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centralizētos iepirkumus informācijas un komunikācijas tehnoloģiju risinājumu un ar tiem saistīto pakalpojumu iegādei ministrijas un tās padotībā esošo iestāžu vajadzībām;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centra pārziņā esošās informācijas un komunikācijas tehnoloģiju infrastruktūras uzturēšanu, nepārtrauktu darbību un aizsardzību, kā arī atjaunošanu un attīstību iekšlietu nozares vajadzībām;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ministrijas padotības iestādēm piešķirto radiofrekvenču izmantošanu;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iespēju valsts un pašvaldību iestādēm, kā arī kritiskās infrastruktūras objektu īpašniekiem un tiesiskajiem valdītājiem izmantot ministrijas radiosakaru sistēmu valsts drošības, sabiedriskās drošības un kārtības apdraudējuma un ārkārtas situāciju novēršanai;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tehniskos un organizatoriskos pasākumus, lai mazinātu drošības apdraudējumus centra uzturētajos informācijas un komunikācijas tehnoloģiju risinājumos, sakaru sistēmās un informācijas un komunikācijas tehnoloģiju infrastruktūrā, kā arī centra pārziņā esošajās informācijas sistēmās;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citus normatīvajos aktos noteiktos uzdevumus.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Centra darbības tiesiskuma nodrošināšana un pārskatu sniegšana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Centra darbības tiesiskumu nodrošina centra priekšnieks. Centra priekšnieks ir atbildīgs par pārvaldes lēmumu izpildes pārbaudes sistēmas izveidošanu un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Centra amatpersonas izdoto administratīvo aktu vai faktisko rīcību privātpersona var apstrīdēt, iesniedzot attiecīgu iesniegumu centra priekšniekam. Centra priekšnieka lēmumu var pārsūdzēt tiesā.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Centra priekšnieka izdoto administratīvo aktu vai faktisko rīcību privātpersona var apstrīdēt ministrijā. Ministrijas lēmumu var pārsūdzēt tiesā.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 priekšnieks reizi gadā iesniedz iekšlietu ministram pārskatu par centra funkciju izpildi un budžeta līdzekļu izlietojumu.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Līdz dienai, kad stājas spēkā attiecīgi grozījumi citos normatīvajos aktos, tajos lietotais termins "Iekšlietu ministrijas Informācijas centrs" atbilst terminam "Iekšlietu digitālais centrs".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2016. gada 20. septembra noteikumus Nr. 616 "Iekšlietu ministrijas Informācijas centra nolikums"</w:t>
      </w:r>
      <w:r w:rsidR="00000000" w:rsidRPr="00000000" w:rsidDel="00000000">
        <w:rPr>
          <w:rtl w:val="0"/>
        </w:rPr>
        <w:t xml:space="preserve"> (Latvijas Vēstnesis, 2016, 184. nr.; 2018, 142.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Dombrava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25-TA-2038</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25-TA-2038</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noteikumu_projekts_25-TA-2038.docx</dc:title>
</cp:coreProperties>
</file>

<file path=docProps/custom.xml><?xml version="1.0" encoding="utf-8"?>
<Properties xmlns="http://schemas.openxmlformats.org/officeDocument/2006/custom-properties" xmlns:vt="http://schemas.openxmlformats.org/officeDocument/2006/docPropsVTypes"/>
</file>