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"Eiropas Savienības Atveseļošanas un noturības mehānisma plāna 1.2. reformu un investīciju virziena “Energoefektivitātes uzlabošana” 1.2.1.4.i. investīcijas “Energoefektivitātes uzlabošana valsts sektora ēkās, t.sk. vēsturiskajās ēkās” īstenošanas noteikumi"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Atbalstīt nepieciešamo pievienotās vērtības nodokļa līdz </w:t>
      </w:r>
      <w:r w:rsidR="00000000" w:rsidRPr="00000000" w:rsidDel="00000000">
        <w:rPr>
          <w:b w:val="1"/>
          <w:i w:val="1"/>
          <w:rtl w:val="0"/>
        </w:rPr>
        <w:t xml:space="preserve"> </w:t>
      </w:r>
      <w:r w:rsidR="00000000" w:rsidRPr="00000000" w:rsidDel="00000000">
        <w:rPr>
          <w:rtl w:val="0"/>
        </w:rPr>
        <w:t xml:space="preserve">4 779 222 </w:t>
      </w:r>
      <w:r w:rsidR="00000000" w:rsidRPr="00000000" w:rsidDel="00000000">
        <w:rPr>
          <w:i w:val="1"/>
          <w:rtl w:val="0"/>
        </w:rPr>
        <w:t xml:space="preserve">euro</w:t>
      </w:r>
      <w:r w:rsidR="00000000" w:rsidRPr="00000000" w:rsidDel="00000000">
        <w:rPr>
          <w:rtl w:val="0"/>
        </w:rPr>
        <w:t xml:space="preserve"> apmērā segšanu no valsts budžeta līdzekļiem, kas netiek segts no Eiropas Savienības Atveseļošanas un noturības mehānisma finansējuma.</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Finansējums investīcijas projekta īstenošanai, tai skaitā šī protokollēmuma 3. punktā minētā pievienotas vērtības nodokļa segšanai, tiks pārdalīts no budžeta resora “74.Gadskārtējā valsts budžeta izpildes procesā pārdalāmais finansējums” 80.00.00 programmas “Nesadalītais finansējums Eiropas Savienības politiku instrumentu un pārējās ārvalstu finanšu palīdzības līdzfinansēto projektu un pasākumu īstenošanai”.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Lai novērstu riskus attiecībā uz finansējuma pieejamību visiem projektu iesniegumiem, kuriem tiks izstrādāta tehniskā dokumentācija Atveseļošanas fonda finansējuma ietvaros, projektiem, kuriem ierobežotā finansējuma dēļ pēc tehniskās dokumentācijas izstrādes varētu netikt piešķirts finansējums projekta tālākai īstenošanai no Atveseļošanas un noturības mehānisma 1.2.1.4.i. investīcijas “Energoefektivitātes uzlabošana valsts sektora ēkās, t.sk. vēsturiskajās ēkās”, ir iespēja pieteikties finansējumam no Eiropas Savienības kohēzijas politikas programmas 2021.–2027.gadam 2.1.1.8. pasākuma "Energoefektivitāti veicinoši pasākumi kultūras infrastruktūrā".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Uzdodot Kultūras ministrijai nodrošināt, ka, īstenojot energoefektivitātes pasākumus noteikumu projekta pielikumā noteiktajās ēkās, tiek sasniegts 30% kopējās primārās enerģijas ietaupījums 1.2.1.4.i.investīcijas “Energoefektivitātes uzlabošana valsts sektora ēkās, t.sk. vēsturiskajās ēkās” ietvaros.</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22-TA-2941</w:t>
    </w:r>
    <w:r>
      <w:br/>
    </w:r>
    <w:r w:rsidR="00000000" w:rsidRPr="00000000" w:rsidDel="00000000">
      <w:rPr>
        <w:rtl w:val="0"/>
      </w:rPr>
      <w:t xml:space="preserve">Izdrukāts 29.07.2026. 21.59 - 6.0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mk_sēdes_protokollēmuma_projekts_22-TA-2941.docx</dc:title>
</cp:coreProperties>
</file>

<file path=docProps/custom.xml><?xml version="1.0" encoding="utf-8"?>
<Properties xmlns="http://schemas.openxmlformats.org/officeDocument/2006/custom-properties" xmlns:vt="http://schemas.openxmlformats.org/officeDocument/2006/docPropsVTypes"/>
</file>