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uztura bagātinātājiem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4. panta otro daļu un 10.</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daļas 2. punktu,</w:t>
      </w:r>
      <w:r>
        <w:br/>
      </w:r>
      <w:r w:rsidR="00000000" w:rsidRPr="00000000" w:rsidDel="00000000">
        <w:rPr>
          <w:rStyle w:val="paragraph"/>
          <w:i w:val="1"/>
          <w:rtl w:val="0"/>
        </w:rPr>
        <w:t xml:space="preserve">13. panta trešās daļas 3. punktu</w:t>
      </w:r>
      <w:r>
        <w:br/>
      </w:r>
      <w:r w:rsidR="00000000" w:rsidRPr="00000000" w:rsidDel="00000000">
        <w:rPr>
          <w:rStyle w:val="paragraph"/>
          <w:i w:val="1"/>
          <w:rtl w:val="0"/>
        </w:rPr>
        <w:t xml:space="preserve">un </w:t>
      </w:r>
      <w:r w:rsidR="00000000" w:rsidRPr="00000000" w:rsidDel="00000000">
        <w:rPr>
          <w:rStyle w:val="paragraph"/>
          <w:i w:val="1"/>
          <w:rtl w:val="0"/>
        </w:rPr>
        <w:t xml:space="preserve">Reklāmas likuma</w:t>
      </w:r>
      <w:r w:rsidR="00000000" w:rsidRPr="00000000" w:rsidDel="00000000">
        <w:rPr>
          <w:rStyle w:val="paragraph"/>
          <w:i w:val="1"/>
          <w:rtl w:val="0"/>
        </w:rPr>
        <w:t xml:space="preserve"> 7.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obligātās nekaitīguma prasības uztura bagātinātājiem;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reģistrē uztura bagātinātājus, aptur vai ierobežo to apriti un anulē reģistrāciju;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uztura bagātinātāju papildu marķējumam;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uztura bagātinātāju reklāmas satura un noformējuma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Šie noteikumi neattiecas uz zālēm.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Latvijā atļauts laist tirgū uztura bagātinātājus, ja tie: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paziņoti Pārtikas un veterinārajam dienestam (turpmāk – dienests) un iekļauti uztura bagātinātāju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noformēti kā pārtikas produkti un galapatērētājam tiek piegādāti tikai fasētā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šajos noteikumos lietoto terminu "uzņēmums" saprot pārtikas apritē iesaistītu uzņēmēju, kas ir atbildīgs par uztura bagātinātāja informāciju, atbilstoši Eiropas Parlamenta un Padomes 2011. gada 25. oktobra Regulas (ES) </w:t>
      </w:r>
      <w:r w:rsidR="00000000" w:rsidRPr="00000000" w:rsidDel="00000000">
        <w:rPr>
          <w:rtl w:val="0"/>
        </w:rPr>
        <w:t xml:space="preserve"> Nr. 1169/2011</w:t>
      </w:r>
      <w:r w:rsidR="00000000" w:rsidRPr="00000000" w:rsidDel="00000000">
        <w:rPr>
          <w:rtl w:val="0"/>
        </w:rPr>
        <w:t xml:space="preserve"> par pārtikas produktu informācijas sniegšanu patērētājiem un par grozījumiem Eiropas Parlamenta un Padomes Regulās (EK) Nr. 1924/2006 un (EK) Nr. 1925/2006, un par Komisijas Direktīvas 87/250/EEK, Padomes Direktīvas 90/496/EEK, Komisijas Direktīvas 1999/10/EK, Eiropas Parlamenta un Padomes Direktīvas 2000/13/EK, Komisijas Direktīvu 2002/67/EK un 2008/5/EK un Komisijas Regulas (EK) Nr. 608/2004 atcelšanu (turpmāk – regula Nr. 1169/2011) 8. panta 1. punktā noteiktajam.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Dienests neierobežo vai neaizliedz uztura bagātinātāju tirdzniecību to sastāva, ražošanas specifikācijas, noformējuma vai marķējuma dēļ, ja tie atbilst šo noteikumu un pārtikas apriti reglamentējošo normatīvo aktu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Obligātās nekaitīguma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Uztura bagātinātāji ir pārtikas produkti parastā uztura papildināšanai koncentrētu uzturvielu (vitamīnu un minerālvielu) veidā vai citas vielas, kurām ir uzturvērtība vai fizioloģiska ietekme, atsevišķi vai kombinācijās. Uztura bagātinātājus realizē noteiktās devās kapsulās, pastilās, tabletēs, dražejās un citos līdzīgos veidos, pulvera maisiņos, ampulās, pilināmās pudelītēs un citā līdzīgā šķidruma un pulvera veidā, kas paredzēts lietošanai mazā un nomērītā daudzumā.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Ražotājs maksimālo vitamīnu un minerālvielu daudzumu ieteiktajā uztura bagātinātāja dienas (diennakts) devā nosaka, ievērojot šādus apsvērumus: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lielāko drošo daudzumu, kas noteikts, veicot zinātnisko riska novērtējumu, pamatojoties uz vispārpieņemtiem zinātniskiem datiem;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dažādu patērētāju grupu atšķirīgās jutības pakāpes;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vitamīnu un minerālvielu uzņemšanu no citiem uztura avotiem;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vitamīnu un minerālvielu ieteicamās devas patērētājam.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Uztura bagātinātāju ražošanā atļauts izmantot tikai tos vitamīnus un minerālvielas un tādos veidos, kā noteikts Eiropas Savienības tieši piemērojamos normatīvajos aktos par uztura bagātinātājiem.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Reģistrācijas, aprites apturēšanas vai ierobežošanas un reģistrācijas anulēšanas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reģistrētu uztura bagātinātāju, uzņēmums dienestā iesniedz paziņojumu uztura bagātinātāja reģistrācijai (turpmāk – paziņojums) (paziņojuma veidlapas paraugs pieejams dienesta tīmekļvietnē). Paziņojumā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uztura bagātinātāju: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ražotāja nosaukumu, reģistrācijas numuru komercreģistrā, adresi, tālruņa numuru, elektroniskā pasta adresi;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valsti, kurā ražots uztura bagātinātājs, ja šī valsts atšķiras no šo noteikumu </w:t>
      </w:r>
      <w:r w:rsidR="00000000" w:rsidRPr="00000000" w:rsidDel="00000000">
        <w:rPr>
          <w:rtl w:val="0"/>
        </w:rPr>
        <w:t xml:space="preserve">9.1.2.</w:t>
      </w:r>
      <w:r w:rsidR="00000000" w:rsidRPr="00000000" w:rsidDel="00000000">
        <w:rPr>
          <w:rtl w:val="0"/>
        </w:rPr>
        <w:t xml:space="preserve"> apakšpunktā minētās ražotāja valsts;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pagatavojuma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fasējuma vienības lielumu;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iepakojuma vienības lielumu;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ieteicamo dienas (diennakts) devu;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sastāvdaļas nosaukumu, daudzumu ieteicamajā dienas devā un mērvienību, papildus norādot: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vitamīnu un minerālvielu veidus;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auga botānisko nosaukumu latviešu un latīņu valodā, izmantoto daļu, pagatavojuma veidu. Auga ekstraktam papildus norāda auga attiecību pret ekstraktu;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vielas, kurām ir uzturvērtība vai fizioloģiska ietekme (šī prasība neattiecas uz šo noteikumu 9.2.1. un 9.2.2.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paziņojuma iesniedzēju, ja paziņojumu iesniedz uzņēmuma pilnvarotā persona: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uzņēmuma nosaukumu, fiziskai personai – arī vārdu un uzvārdu;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juridiskai personai – reģistrācijas numuru komercreģistrā un juridisko adresi, fiziskai personai – personas kodu un deklarētās dzīvesvietas adresi;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faktisko adresi, ja tā nesakrīt ar juridisko adresi vai deklarētās dzīvesvietas adresi;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kontaktpersonas vārdu, uzvārdu, tālruņa numuru, elektroniskā pasta adresi;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uzņēmumu: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uzņēmuma nosaukumu, fiziskai personai – arī vārdu un uzvārdu;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juridiskai personai – reģistrācijas numuru komercreģistrā un juridisko adresi, fiziskai personai – personas kodu un deklarētās dzīvesvietas adresi;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faktisko adresi, ja tā nesakrīt ar juridisko adresi vai deklarētās dzīvesvietas adresi;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kontaktpersonu, tālruņa numuru, elektroniskā pasta adresi;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uztura bagātinātāju reģistrā iekļaujamo informāciju par ražotāju – vai nu ražotāja nosaukumu un adresi, vai valsti, kurā ražots uztura bagātinātājs;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valsts nodevas samaksu – valsts nodevas maksātāju, maksājuma datumu un samaksāto 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dienesta lēmuma saņemšanas veidu – uz norādīto oficiālo elektronisko adresi, elektroniskā pasta adresi, pasta adresi vai klātienē;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ka sniegtā informācija ir patiesa.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17.11.2020. noteikumu Nr. 688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Papildus šo noteikumu 9. punktā minētajam paziņojumam</w:t>
      </w:r>
      <w:r w:rsidR="00000000" w:rsidRPr="00000000" w:rsidDel="00000000">
        <w:rPr>
          <w:vertAlign w:val="superscript"/>
          <w:rtl w:val="0"/>
        </w:rPr>
        <w:t xml:space="preserve"> </w:t>
      </w:r>
      <w:r w:rsidR="00000000" w:rsidRPr="00000000" w:rsidDel="00000000">
        <w:rPr>
          <w:rtl w:val="0"/>
        </w:rPr>
        <w:t xml:space="preserve">uzņēmums dienestā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marķējuma teksta paraugu latviešu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marķējuma paraugu oriģinālvalodā, iepakojuma oriģinālu vai tā fotokopiju.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17.11.2020. noteikumu Nr. 688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paziņojumu iesniedz papīra formā, uzņēmums marķējuma teksta paraugu latviešu valodā dienestā papildus iesniedz, izmantojot pieejamos elektronisko datu nesējus. Šādu kārtību piemēro arī šo noteikumu 13. un 13.</w:t>
      </w:r>
      <w:r w:rsidR="00000000" w:rsidRPr="00000000" w:rsidDel="00000000">
        <w:rPr>
          <w:vertAlign w:val="superscript"/>
          <w:rtl w:val="0"/>
        </w:rPr>
        <w:t xml:space="preserve">1 </w:t>
      </w:r>
      <w:r w:rsidR="00000000" w:rsidRPr="00000000" w:rsidDel="00000000">
        <w:rPr>
          <w:rtl w:val="0"/>
        </w:rPr>
        <w:t xml:space="preserve">punktā minētajā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17.11.2020. noteikumu Nr. 688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9., 9.</w:t>
      </w:r>
      <w:r w:rsidR="00000000" w:rsidRPr="00000000" w:rsidDel="00000000">
        <w:rPr>
          <w:vertAlign w:val="superscript"/>
          <w:rtl w:val="0"/>
        </w:rPr>
        <w:t xml:space="preserve">1</w:t>
      </w:r>
      <w:r w:rsidR="00000000" w:rsidRPr="00000000" w:rsidDel="00000000">
        <w:rPr>
          <w:rtl w:val="0"/>
        </w:rPr>
        <w:t xml:space="preserve">, 13. un 13.</w:t>
      </w:r>
      <w:r w:rsidR="00000000" w:rsidRPr="00000000" w:rsidDel="00000000">
        <w:rPr>
          <w:vertAlign w:val="superscript"/>
          <w:rtl w:val="0"/>
        </w:rPr>
        <w:t xml:space="preserve">1 </w:t>
      </w:r>
      <w:r w:rsidR="00000000" w:rsidRPr="00000000" w:rsidDel="00000000">
        <w:rPr>
          <w:rtl w:val="0"/>
        </w:rPr>
        <w:t xml:space="preserve">punktā minēto informāciju uzņēmums var iesniegt elektroniski, aizpildot speciālu tiešsaistes formu dienesta tīmekļvietnē www.pvd.gov.lv (e-pakalpojums) un identifikācijai izmantojot Valsts reģionālās attīstības aģentūras pārziņā esošo valsts informācijas sistēmu savietotāja koplietošanas personas identifikācijas risinājumu.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17.11.2021. noteikumu Nr. 688 redakcijā; punkts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var pieprasīt Zāļu valsts aģentūras atzinumu: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paziņojumā norādītā informācija liecina, ka uztura bagātinātājs ir zāles;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dienests konstatē, ka paziņotais vai reģistrā iekļautais uztura bagātinātājs citā Eiropas Savienības dalībvalstī tiek izplatīts kā zāles;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ņemot vērā no citām Eiropas Savienības dalībvalstu kompetentajām institūcijām saņemto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ja nepieciešams, var pieprasīt no uzņēmuma jebkuru citu informāciju par uztura bagātinātāju, lai izvērtētu tā atbilstību pārtikas apriti reglamentējošo normatīvo aktu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tiek izdarītas izmaiņas reģistrētā uztura bagātinātājā, uzņēmums iesniedz dienestā paziņojumu par reģistrēta uztura bagātinātāja izmaiņām (turpmāk – paziņojums par izmaiņām) (paziņojuma veidlapas paraugs pieejams dienesta tīmekļvietnē). Paziņojumā par izmaiņām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uztura bagātinātāju: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 bagātinātāja nosaukumu un reģistrācijas numuru;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izdarītās izmaiņas uztura bagātinātāja nosaukumā, ražotāja nosaukumā, ražotāja adresē, uzņēmuma nosaukumā, uzņēmuma adresē, izmaiņas attiecībā uz valsti, kurā ražots uztura bagātinātājs, kā arī izmaiņas pagatavojuma veidā, fasējuma vienības lielumā, iepakojuma vienības lielumā, ieteicamajā dienas (diennakts) devā, sastāvdaļās, sastāvdaļu daudzumā, sastāvdaļu mērvienībā vai marķējumā;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personu, kas iesniedz paziņojumu par izmaiņām, ja paziņojumu iesniedz pilnvarotā persona: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uzņēmuma nosaukumu, fiziskai personai – arī vārdu un uzvārdu;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juridiskai personai – reģistrācijas numuru komercreģistrā un juridisko adresi, fiziskai personai – personas kodu un deklarētās dzīvesvietas adresi;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faktisko adresi, ja tā nesakrīt ar juridisko adresi vai deklarētās dzīvesvietas adresi;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kontaktpersonas vārdu, uzvārdu, tālruņa numuru, elektroniskā pasta adresi;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uzņēmumu: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uzņēmuma nosaukumu, fiziskai personai – arī vārdu un uzvārdu;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juridiskai personai – reģistrācijas numuru komercreģistrā un juridisko adresi, fiziskai personai – personas kodu un deklarētās dzīvesvietas adresi;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faktisko adresi, ja tā nesakrīt ar juridisko adresi vai deklarētās dzīvesvietas adresi;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kontaktpersonu, tālruņa numuru, elektroniskā pasta adresi;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norādi par nepieciešamību saglabāt iepriekš reģistrā iekļauto marķējumu, norādot precīzu periodu, līdz kuram reģistrā iepriekš iekļautais marķējums saglabājams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valsts nodevas samaksu – valsts nodevas maksātāju, maksājuma datumu un samaksāto 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uztura bagātinātāju reģistrā iekļaujamo informāciju par ražotāju – vai nu ražotāja nosaukumu un adresi, vai valsti, kurā ražots uztura bagātinātājs;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dienesta lēmuma saņemšanas veidu – uz norādīto oficiālo elektronisko adresi, elektroniskā pasta adresi, pasta adresi vai klātienē;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ka sniegtā informācija ir patiesa.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17.11.2020. noteikumu Nr. 688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Papildus šo noteikumu 13. punktā minētajam paziņojumam par izmaiņām</w:t>
      </w:r>
      <w:r w:rsidR="00000000" w:rsidRPr="00000000" w:rsidDel="00000000">
        <w:rPr>
          <w:vertAlign w:val="superscript"/>
          <w:rtl w:val="0"/>
        </w:rPr>
        <w:t xml:space="preserve"> </w:t>
      </w:r>
      <w:r w:rsidR="00000000" w:rsidRPr="00000000" w:rsidDel="00000000">
        <w:rPr>
          <w:rtl w:val="0"/>
        </w:rPr>
        <w:t xml:space="preserve">uzņēmums dienestā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marķējuma teksta paraugu latviešu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marķējuma paraugu oriģinālvalodā, iepakojuma oriģinālu vai tā fotokopiju.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17.11.2020. noteikumu Nr. 688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Pirms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punktā minētā paziņojuma iesniegšanas uzņēmums samaksā valsts nodevu atbilstoši normatīvajam aktam par uztura bagātinātāju reģistrācijas valsts nodevu.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Dienests mēneša laikā pēc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punktā minētā paziņojuma saņemšanas dienas pieņem attiecīgi lēmumu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 bagātinātāja reģistrāciju dienesta uztura bagātinātāju reģistrā vai par reģistrācijas atteikumu, ja produkts neatbilst pārtikas aprites jomu reglamentējošo normatīvo aktu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izmaiņu izdarīšanu uztura bagātinātāju reģistrā vai par atteikumu izdarīt izmaiņas, ja produkts neatbilst pārtikas aprites jomu reglamentējošo normatīvo aktu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iesniegts paziņojums par tādu uztura bagātinātāju, kuram ar reģistrētu uztura bagātinātāju ir vienāds nosaukums, ražotājs, sastāvs, ieteicamā dienas (diennakts) deva, pagatavojuma veids un fasējuma vienības lielums (turpmāk – identisks produkts), dienests 10 darbdienu laikā no šo noteikumu </w:t>
      </w:r>
      <w:r w:rsidR="00000000" w:rsidRPr="00000000" w:rsidDel="00000000">
        <w:rPr>
          <w:rtl w:val="0"/>
        </w:rPr>
        <w:t xml:space="preserve">9.</w:t>
      </w:r>
      <w:r w:rsidR="00000000" w:rsidRPr="00000000" w:rsidDel="00000000">
        <w:rPr>
          <w:rtl w:val="0"/>
        </w:rPr>
        <w:t xml:space="preserve"> punktā minētā paziņojuma saņemšanas dienas pieņem lēmumu par uztura bagātinātāja reģistrāciju dienesta uztura bagātinātāju reģistrā, izņemot šo noteikumu </w:t>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punktā minētos gadījumus.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 gadījumā piemēro vispārējo reģistrācijas kārtību, ja pastāv kāds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produkts nav identisks ar uztura bagātinātāju reģistrā jau iekļautu uztura bagātinātāju;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iesniegtie dokumenti neatbilst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ir ierosinājis administratīvo lietu par tā reģistrā jau iekļauta identiska produkta reģistrācijas anulēšanu, pamatojoties uz grozījumiem normatīvajos aktos pārtikas aprites jomā vai jaunāko zinātnisko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dienests saņem jaunu informāciju vai veic esošās informācijas atkārtotu pārbaudi, uz kuru pamatojoties var secināt, ka reģistrētais uztura bagātinātājs var radīt vai rada draudus cilvēku veselībai, dienests pieņem lēmumu par uztura bagātinātāja tirdzniecības ierobežošanu vai apturēšanu uz laiku vai izņemšanu no apgrozības. Dienests saskaņā ar normatīvajiem aktiem par ātrās reaģēšanas sistēmas darbību pārtikas apritē un dzīvnieku barības apritē nekavējoties par pieņemto lēmumu informē dalībvalstis un Eiropas Komisiju.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reģistrā iekļautais uztura bagātinātājs rada draudus cilvēku veselībai, dienests pieņem lēmumu anulēt uztura bagātinātāja reģistrāciju un svītro to no uztura bagātinātāju reģistra.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reģistrā iekļautais uztura bagātinātājs nerada draudus cilvēku veselībai, bet neatbilst pārtikas aprites jomu reglamentējošo normatīvo aktu prasībām, dienests var pieņemt lēmumu par uztura bagātinātāja tirdzniecības apturēšanu līdz neatbilstību novēršanai. Ja konstatētās neatbilstības netiek novērstas, dienests var pieņemt lēmumu anulēt uztura bagātinātāja reģistrāciju.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Dienests izveido uztura bagātinātāju reģistru un uztur to. Reģistru publicē dienesta tīmekļvietnē. Reģistrā iekļauj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nosaukumu un adresi vai valsti, kurā ražots uztura bagātinātājs (atbilstoši šo noteikumu </w:t>
      </w:r>
      <w:r w:rsidR="00000000" w:rsidRPr="00000000" w:rsidDel="00000000">
        <w:rPr>
          <w:rtl w:val="0"/>
        </w:rPr>
        <w:t xml:space="preserve">9.4.</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13.5.</w:t>
      </w:r>
      <w:r w:rsidR="00000000" w:rsidRPr="00000000" w:rsidDel="00000000">
        <w:rPr>
          <w:vertAlign w:val="superscript"/>
          <w:rtl w:val="0"/>
        </w:rPr>
        <w:t xml:space="preserve">1</w:t>
      </w:r>
      <w:r w:rsidR="00000000" w:rsidRPr="00000000" w:rsidDel="00000000">
        <w:rPr>
          <w:rtl w:val="0"/>
        </w:rPr>
        <w:t xml:space="preserve"> apakšpunktā noteiktajam);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uzņēmuma nosaukumu un adresi;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uztura bagātinātāja sastāvdaļu sarakstu un uzturvielu vai vielu ar uzturvērtību vai fizioloģisko ietekmi daudzumu dienas (diennakts) devā (arī izmantoto augu nosaukumus latviešu un latīņu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uztura bagātinātāja ieteicamo dienas (diennakts) devu;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uztura bagātinātāja pagatavojuma veidu, fasējuma un iepakojuma vienības lielumu;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marķējuma tekstu un citu informāciju, ja tāda tiks pievienota uztura bagātinātājam, piemēram, lietošanas pamācības paraugu.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uztura bagātinātāju reģistrā iekļautais uztura bagātinātājs vairs netiek laists tirgū, uzņēmums par to informē dienestu rakstveida iesniegumā un dienests anulē uztura bagātinātāja reģistrāciju, kā arī svītro to no uztura bagātinātāju reģistra.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apstrādā paziņojuma iesniedzēja fiziskās personas un uzņēmuma pilnvarotās personas datus – vārdu, uzvārdu, personas kodu, deklarētās dzīvesvietas adresi, faktisko adresi, tālruņa numuru, elektroniskā pasta adresi, lai identificētu uzņēmumu, reģistrētu uztura bagātinātāju, izdarītu izmaiņas reģistrā un sazinātos ar uzņēmumu vai uzņēmuma pilnvaroto personu. Ja uztura bagātinātāja reģistrācija ir atteikta, fiziskās personas un uzņēmuma pilnvarotās personas datus pēc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minētā paziņojuma saņemšanas uzglabā trīs gadus. Ja uztura bagātinātājs ir reģistrēts, fiziskās personas un uzņēmuma pilnvarotās personas datus uzglabā trīs gadus pēc uztura bagātinātāja svītrošanas no uztura bagātinātāja objektu reģistra.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papildu marķējumam un reklāmai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Uztura bagātinātājus marķē kārtībā, kas noteikta normatīvajā aktā par prasībām fasētas pārtikas marķējumam un regulā Nr. </w:t>
      </w:r>
      <w:r w:rsidR="00000000" w:rsidRPr="00000000" w:rsidDel="00000000">
        <w:rPr>
          <w:rtl w:val="0"/>
        </w:rPr>
        <w:t xml:space="preserve">1169/2011</w:t>
      </w:r>
      <w:r w:rsidR="00000000" w:rsidRPr="00000000" w:rsidDel="00000000">
        <w:rPr>
          <w:rtl w:val="0"/>
        </w:rPr>
        <w:t xml:space="preserve">. Marķējumā ietver šādu papildu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tirdzniecības nosaukumu "uztura bagātinātājs";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uzturvielu kategoriju vai vielu nosaukumus, kuras raksturo uztura bagātinātāju, vai norādi par šo uzturvielu vai vielu īpašībām;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uztura bagātinātāja ieteicamo dienas (diennakts) devu;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brīdinājumu nepārsniegt ieteicamo dienas (diennakts) devu;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ieteikumu neizmantot uztura bagātinātāju pilnvērtīga un sabalansēta uztura aizvietošanai;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brīdinājumu, ka uztura bagātinātājs jāglabā bērniem (maziem bērniem) nepieejamā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cipariem – daudzumu uzturvielām vai vielām ar uzturvērtību vai fizioloģisku ietekmi masas vai tilpuma vienībās dienas (diennakts) devā. Vitamīnus un minerālvielas norāda Eiropas Savienības tieši piemērojamos normatīvajos aktos par uztura bagātinātājiem noteiktajās mērvienībās;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vitamīnu un minerālvielu daudzumu procentos no uzturvielu atsauces vērtības, kas norādīta regulas Nr. </w:t>
      </w:r>
      <w:r w:rsidR="00000000" w:rsidRPr="00000000" w:rsidDel="00000000">
        <w:rPr>
          <w:rtl w:val="0"/>
        </w:rPr>
        <w:t xml:space="preserve">1169/2011</w:t>
      </w:r>
      <w:r w:rsidR="00000000" w:rsidRPr="00000000" w:rsidDel="00000000">
        <w:rPr>
          <w:rtl w:val="0"/>
        </w:rPr>
        <w:t xml:space="preserve"> XIII pielikuma A daļā. Vitamīnu un minerālvielu daudzumu procentos var norādīt arī grafiski.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Minimālais vitamīnu un minerālvielu daudzums dienas (diennakts) devā, ko iesaka ražotājs, nav mazāks par regulas Nr. 1169/2011 XIII pielikuma A daļas 2. punkta pirmajā un trešajā ievilkumā norādīto ievērojamu vitamīnu un minerālvielu daudzumu procentos no uzturvielu atsauces vērtības.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17.11.2020. noteikumu Nr. 688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Marķējumā norādītais uzturvielu vai citu tādu vielu daudzums, kurām ir uzturvērtība vai fizioloģiska ietekme: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tam uztura bagātinātāja daudzumam, kas ieteikts kā dienas (diennakts) deva;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vidējais daudzums, pamatojoties uz ražotāja veikto uztura bagātinātāja testēšanas rezultātiem.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Uztura bagātinātāja marķējumā, noformējumā un reklāmā nedrīkst ietvert: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norādi, ka uztura bagātinātājs novērš, ārstē vai izārstē slimības, vai minēt šādu iespēju;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jebkuras tiešas vai netiešas norādes, ka līdzsvarots un daudzveidīgs uzturs nespēj nodrošināt pietiekamu uzturvielu daudzumu.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Reklamēt atļauts tikai uztura bagātinātāju reģistrā iekļautos uztura bagātinātājus.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Uztura bagātinātāja reklāmā ietver norādes "Uztura bagātinātājs" un "Uztura bagātinātājs neaizstāj pilnvērtīgu un sabalansētu uzturu".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Norāde "Uztura bagātinātājs neaizstāj pilnvērtīgu un sabalansētu uzturu" aizņem ne mazāk kā piecus procentus no reklāmas apjoma. Burtu lielums ir tāds, lai norāde aizņemtu lielāko tehniski iespējamo daļu no tekstam paredzētā laukuma.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Uztura bagātinātājiem, kas ir laisti tirgū un marķēti līdz 2016. gada 13. decembrim, var lietot saīsinājumu IDD (ieteicamā dienas deva), lai izteiktu atsauces vērtību uz vitamīnu un minerālvielu daudzumu procentos no ieteicamās dienas devas, kas norādīta regulas Nr.  </w:t>
      </w:r>
      <w:r w:rsidR="00000000" w:rsidRPr="00000000" w:rsidDel="00000000">
        <w:rPr>
          <w:rtl w:val="0"/>
        </w:rPr>
        <w:t xml:space="preserve">1169/2011</w:t>
      </w:r>
      <w:r w:rsidR="00000000" w:rsidRPr="00000000" w:rsidDel="00000000">
        <w:rPr>
          <w:rtl w:val="0"/>
        </w:rPr>
        <w:t xml:space="preserve"> XIII pielikuma A daļā.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2002. gada 10. jūnija Direktīvas </w:t>
      </w:r>
      <w:r w:rsidR="00000000" w:rsidRPr="00000000" w:rsidDel="00000000">
        <w:rPr>
          <w:rtl w:val="0"/>
        </w:rPr>
        <w:t xml:space="preserve">2002/46/EK</w:t>
      </w:r>
      <w:r w:rsidR="00000000" w:rsidRPr="00000000" w:rsidDel="00000000">
        <w:rPr>
          <w:rtl w:val="0"/>
        </w:rPr>
        <w:t xml:space="preserve"> par dalībvalstu likumu tuvināšanu attiecībā uz uztura bagātinātājiem;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2006. gada 30. marta Direktīvas </w:t>
      </w:r>
      <w:r w:rsidR="00000000" w:rsidRPr="00000000" w:rsidDel="00000000">
        <w:rPr>
          <w:rtl w:val="0"/>
        </w:rPr>
        <w:t xml:space="preserve">2006/37/EK</w:t>
      </w:r>
      <w:r w:rsidR="00000000" w:rsidRPr="00000000" w:rsidDel="00000000">
        <w:rPr>
          <w:rtl w:val="0"/>
        </w:rPr>
        <w:t xml:space="preserve">, ar ko groza II pielikumu Eiropas Parlamenta un Padomes 2002. gada 10. jūnija Direktīvai </w:t>
      </w:r>
      <w:r w:rsidR="00000000" w:rsidRPr="00000000" w:rsidDel="00000000">
        <w:rPr>
          <w:rtl w:val="0"/>
        </w:rPr>
        <w:t xml:space="preserve">2002/46/EK</w:t>
      </w:r>
      <w:r w:rsidR="00000000" w:rsidRPr="00000000" w:rsidDel="00000000">
        <w:rPr>
          <w:rtl w:val="0"/>
        </w:rPr>
        <w:t xml:space="preserve"> attiecībā uz dažu vielu iekļaušanu.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23-TA-3244</w:t>
    </w:r>
    <w:r>
      <w:br/>
    </w:r>
    <w:r w:rsidR="00000000" w:rsidRPr="00000000" w:rsidDel="00000000">
      <w:rPr>
        <w:rtl w:val="0"/>
      </w:rPr>
      <w:t xml:space="preserve">Izdrukāts 29.07.2026. 23.22 - 1.0.VK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23-TA-3244</w:t>
    </w:r>
    <w:r>
      <w:br/>
    </w:r>
    <w:r w:rsidR="00000000" w:rsidRPr="00000000" w:rsidDel="00000000">
      <w:rPr>
        <w:rtl w:val="0"/>
      </w:rPr>
      <w:t xml:space="preserve">Izdrukāts 29.07.2026. 23.22 - 1.0.VK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noteikumu_konsolidētā_versija_23-TA-3244.docx</dc:title>
</cp:coreProperties>
</file>

<file path=docProps/custom.xml><?xml version="1.0" encoding="utf-8"?>
<Properties xmlns="http://schemas.openxmlformats.org/officeDocument/2006/custom-properties" xmlns:vt="http://schemas.openxmlformats.org/officeDocument/2006/docPropsVTypes"/>
</file>