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kautuvēs un gaļas pārstrādes uzņēmumos radušos dzīvnieku izcelsmes 1. un 2. kategorijas blakusproduktu (izņemot kūtsmēslu) un gremošanas trakta satura, kā arī par nošķirtu, šķirotu un attīrītu cūku sugas dzīvnieku izcelsmes 3. kategorijas blakusproduktu savākšanu, transportēšanu un pārstrādāšanu vai likvidēšanu</w:t>
      </w:r>
      <w:r>
        <w:br/>
      </w:r>
      <w:r>
        <w:br/>
      </w:r>
      <w:r w:rsidR="00000000" w:rsidRPr="00000000" w:rsidDel="00000000">
        <w:rPr>
          <w:rStyle w:val="paragraph_header"/>
          <w:b w:val="1"/>
          <w:rtl w:val="0"/>
        </w:rPr>
        <w:t xml:space="preserve">______. gada 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svītrots ar MK 07.03.2023. noteikumiem Nr. 107)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noteikumu_konsolidētā_versija_p42_24-TA-2345.docx</dc:title>
</cp:coreProperties>
</file>

<file path=docProps/custom.xml><?xml version="1.0" encoding="utf-8"?>
<Properties xmlns="http://schemas.openxmlformats.org/officeDocument/2006/custom-properties" xmlns:vt="http://schemas.openxmlformats.org/officeDocument/2006/docPropsVTypes"/>
</file>