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pasākumu "Pilsonisko līdzdalību veicinošu kultūras pakalpojumu pieejamības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kultūras izpratnes un izpausmes kompetenci kā pilsonisko līdzdalību sekmējošu faktoru un nodrošināt vienlīdzīgu profesionālās mākslas un kultūras norišu pieejamību pasākuma mērķa grupai neatkarīgi no dzīves vietas un ģimenes sociāli ekonomiskā stāvokļa.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bērni un jaunieši, kuri apgūst pamatizglītības, vispārējās vidējās izglītības, profesionālās pamatizglītības vai profesionālās vidējās izglītības programmas, jo īpaši mazāk aizsargātās grupas.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ir sasniedzami nacionālie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aprobēto pilsonisko līdzdalību sekmējošu profesionālo mākslas un kultūras norišu skaits bērniem un jauniešiem – 40 norises;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pilsonisko līdzdalību sekmējošo profesionālo mākslas un kultūras norišu aprobācijā iesaistīto izglītības iestāžu skaits – 10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pedagogu skaits, kas pilnveidojuši kompetenci ar profesionālās mākslas un kultūras norisēm sekmēt pilsonisko līdzdalību – 40 pedagogi;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kuri attīstījuši pilsoniskās līdzdalības prasmes, piedaloties pilsonisko līdzdalību sekmējošu profesionālo mākslas un kultūras norišu aprobēšanā – vismaz 750 izglītojamie.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attiecināmais finansējums ir 2 088 410 </w:t>
      </w:r>
      <w:r w:rsidR="00000000" w:rsidRPr="00000000" w:rsidDel="00000000">
        <w:rPr>
          <w:i w:val="1"/>
          <w:rtl w:val="0"/>
        </w:rPr>
        <w:t xml:space="preserve">euro </w:t>
      </w:r>
      <w:r w:rsidR="00000000" w:rsidRPr="00000000" w:rsidDel="00000000">
        <w:rPr>
          <w:rtl w:val="0"/>
        </w:rPr>
        <w:t xml:space="preserve">(no tā elastības finansējums – 329 499 </w:t>
      </w:r>
      <w:r w:rsidR="00000000" w:rsidRPr="00000000" w:rsidDel="00000000">
        <w:rPr>
          <w:i w:val="1"/>
          <w:rtl w:val="0"/>
        </w:rPr>
        <w:t xml:space="preserve">euro</w:t>
      </w:r>
      <w:r w:rsidR="00000000" w:rsidRPr="00000000" w:rsidDel="00000000">
        <w:rPr>
          <w:rtl w:val="0"/>
        </w:rPr>
        <w:t xml:space="preserve">), tai skaitā ESF+ finansējums – 1 775 148 </w:t>
      </w:r>
      <w:r w:rsidR="00000000" w:rsidRPr="00000000" w:rsidDel="00000000">
        <w:rPr>
          <w:i w:val="1"/>
          <w:rtl w:val="0"/>
        </w:rPr>
        <w:t xml:space="preserve">euro </w:t>
      </w:r>
      <w:r w:rsidR="00000000" w:rsidRPr="00000000" w:rsidDel="00000000">
        <w:rPr>
          <w:rtl w:val="0"/>
        </w:rPr>
        <w:t xml:space="preserve">(no tā elastības finansējums – 280 074 </w:t>
      </w:r>
      <w:r w:rsidR="00000000" w:rsidRPr="00000000" w:rsidDel="00000000">
        <w:rPr>
          <w:i w:val="1"/>
          <w:rtl w:val="0"/>
        </w:rPr>
        <w:t xml:space="preserve">euro</w:t>
      </w:r>
      <w:r w:rsidR="00000000" w:rsidRPr="00000000" w:rsidDel="00000000">
        <w:rPr>
          <w:rtl w:val="0"/>
        </w:rPr>
        <w:t xml:space="preserve">) un valsts budžeta līdzfinansējums – 313 262 </w:t>
      </w:r>
      <w:r w:rsidR="00000000" w:rsidRPr="00000000" w:rsidDel="00000000">
        <w:rPr>
          <w:i w:val="1"/>
          <w:rtl w:val="0"/>
        </w:rPr>
        <w:t xml:space="preserve">euro </w:t>
      </w:r>
      <w:r w:rsidR="00000000" w:rsidRPr="00000000" w:rsidDel="00000000">
        <w:rPr>
          <w:rtl w:val="0"/>
        </w:rPr>
        <w:t xml:space="preserve">(no tā elastības finansējums – 49 425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kopējo pasākumam pieejamo finansējumu plāno ne vairāk kā 1 758 911 </w:t>
      </w:r>
      <w:r w:rsidR="00000000" w:rsidRPr="00000000" w:rsidDel="00000000">
        <w:rPr>
          <w:i w:val="1"/>
          <w:rtl w:val="0"/>
        </w:rPr>
        <w:t xml:space="preserve">euro </w:t>
      </w:r>
      <w:r w:rsidR="00000000" w:rsidRPr="00000000" w:rsidDel="00000000">
        <w:rPr>
          <w:rtl w:val="0"/>
        </w:rPr>
        <w:t xml:space="preserve">apmērā, tai skaitā ESF+ finansējumu – 1 495 074 </w:t>
      </w:r>
      <w:r w:rsidR="00000000" w:rsidRPr="00000000" w:rsidDel="00000000">
        <w:rPr>
          <w:i w:val="1"/>
          <w:rtl w:val="0"/>
        </w:rPr>
        <w:t xml:space="preserve">euro </w:t>
      </w:r>
      <w:r w:rsidR="00000000" w:rsidRPr="00000000" w:rsidDel="00000000">
        <w:rPr>
          <w:rtl w:val="0"/>
        </w:rPr>
        <w:t xml:space="preserve">apmērā un valsts budžeta līdzfinansējumu – 263 837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projektam plānotā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ir Latvijas Nacionālais kultūras centrs. Projekta iesniedzējs pēc projekta iesnieguma apstiprināšanas sadarbības iestādē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saņēmēja sadarbības partneris ir biedrība “Izglītības attīstības centrs”.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projekta iesniedzējs ar sadarbības partneri slēdz sadarbības līgumu par pušu pienākumiem, tiesībām un atbildību projekta mērķa un rādītāju sasniegšanā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Īstenojot projektu, finansējuma saņēmējs un sadarbības partneris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nacionālā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rādītāju: konsultatīva rakstura pasākumu skaits pedagogiem un kultūras profesionāļiem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interešu konflikta neesamību saskaņā ar Eiropas Parlamenta un Padomes 2024. gada 23. septembra Regulas (ES, Euratom) 2024/2509 par finanšu noteikumiem, ko piemēro Savienības vispārējam budžetam (pārstrādāta redakcija), 61. panta prasībām. Finansējuma saņēmējs un sadarbības partneris paraksta interešu konflikta neesamības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riska novēršanu un demarkāciju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ievieto aktuālu informāciju par projekta īstenošanu savā tīmekļvietnē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sniedz sadarbības iestādei informāciju par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horizontālo principu rādītāju.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 un sadarbības partneris nodrošina atsevišķu darījumu ieņēmumu un izdevumu grāmatvedības uzskaiti un grāmatvedības uzskaitē projekta izmaksu nodalīšanu no saimnieciskās darbības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kultūrizglītības programmā “Latvijas skolas soma” iekļauto bērniem un jauniešiem domāto profesionālās mākslas un kultūras norišu izvērtēšana un atlase, lai noteiktu profesionālās mākslas un kultūras norises, kam piemīt pilsoniskās līdzdalības veicināšanas potenciāls;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atlasīto profesionālās mākslas un kultūras norišu aprobēšana izglītības iestādēs un kopienās ar mērķi attīstīt un sekmēt pasākuma mērķa grupas pilsonisko līdzdalību;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aprobācijas laikā iegūto labās prakses piemēru par profesionālās mākslas un kultūras norišu īstenošanu pilsoniskās līdzdalības veicināšanai apkopošana un izplatīšana;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profesionālās pilnveides pasākumu īstenošana, sekmējot kompetenci izmantot profesionālās mākslas un kultūras norises pilsoniskās līdzdalības veicināšanai;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pedagogiem profesionālās mākslas un kultūras norišu izmantošanai pilsoniskās līdzdalības veicināšanai un izglītojamo līdzdalībai norišu izvēles un plānošanas procesā;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metodiskā materiālu izstrāde profesionālās mākslas un kultūras norišu veidotājiem, kā stiprināt profesionālās mākslas un kultūras norišu izmantošanu līdzdalības veicināšanā un demokrātijas principu iedzīvināšanā bērnu un jauniešu auditorijai;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nacionāla mēroga konferences izglītības un kultūras nozares sadarbībai pilsoniskās līdzdalības veicināšanai īstenošana;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starptautiskas konferences par kultūras pieejamību, izmantojot kultūrizglītības programmas “Latvijas skolas soma” un līdzīgu iniciatīvu Eiropā pieredzi, īstenošana;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projekta vadības un īstenošanas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izmaksas saskaņā ar Valsts un pašvaldību institūciju amatpersonu un darbinieku atlīdzības likumu, izņemot virsstundas un sadarbības partnera projekta īstenošanas personāla un vadības personāla izmaksas saskaņā ar sadarbības partnera atlīdzības sistēmā noteikto samaksu par līdzvērtīga darba veikšanu vai atbilstoši vidējai darba samaksai saskaņā ar Centrālās statistikas pārvaldes datiem par līdzvērtīgu darbu attiecīgajā nozarē.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25.1.1. </w:t>
      </w:r>
      <w:r w:rsidR="00000000" w:rsidRPr="00000000" w:rsidDel="00000000">
        <w:rPr>
          <w:rtl w:val="0"/>
        </w:rPr>
        <w:t xml:space="preserve">apakšpunkts</w:t>
      </w:r>
      <w:r w:rsidR="00000000" w:rsidRPr="00000000" w:rsidDel="00000000">
        <w:rPr>
          <w:rtl w:val="0"/>
        </w:rPr>
        <w:t xml:space="preserve"> uz finansējuma saņēmēja projekta vadības personāla izmaksām attiecināms līdz brīdim, kad tiks apstiprināta atbildīgās iestādes izstrādātā un ar vadošo iestādi saskaņotā vienas vienības izmaksu standarta likmes aprēķina un piemērošanas metodika finansējuma saņēmēja projekta vadības personāla izmaksām (turpmāk – projekta vadības personāla izmaksu metodika);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vadības personāla izmaksu metodikas apstiprināšanas finansējuma saņēmēja projekta vadības personāla izmaksas tiek segtas, piemērojot projekta vadības personāla izmaksu metodiku;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finansējuma saņēmēja un sadarbības partnera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projekta vadības un īstenošanas personāla iekšzemes komandējumu un darba braucienu izmaksas atbilstoši normatīvajiem aktiem par kārtību, kādā atlīdzināmi ar komandējumiem saistītie izdevumi,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jaunradītu projekta vadības un īstenošanas personāla darba vietu aprīkojuma vai gadījumos, ja esošo darba vietu aprīkojums ir nolietojies un tiek norakstīts, biroja mēbeļu un tehnikas, datorprogrammu un licenču iegādes vai nomas izmaksas, tai skaitā aprīkojuma uzturēšanas un remonta izmaksas, ne vairāk kā 3000 euro vienai darba vietai visā projekta īstenošanas laikā, ja projekta vadības vai īstenošanas personāls ir nodarbināts projektā vismaz 30 procentu apmērā no normālā darba laika uz darba līguma pamata, šo noteikumu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Ja projekta vadības un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nomas izmaksas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sadarbības partnera projekta vadības un īstenošanas personāla un mērķa grupas transporta pakalpojumu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kā arī transportlīdzekļa (tai skaitā specializētā) noma vai transporta (tai skaitā specializētā) pakalpojuma pirkšana šo noteikumu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ārpakalpojuma (tai skaitā uzņēmuma līgumu)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konsultantu, ekspertu un citu speciālistu atlīdzība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mākslas un kultūras norišu apmeklējuma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licences izmaksas par autortiesību un blakus tiesību izmantošanu un autoratlīdzība, tai skaitā iedzīvotāju ienākuma nodoklis un valsts sociālās apdrošināšanas obligātās iemaksas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metodisko materiālu izstrādes un publiskošanas izmaksas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23.6.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profesionālās mākslas un kultūras norišu aprobēšanas izmaksas (piemēram, materiālu, tehniskā nodrošinājuma izmaksas)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konferenču, semināru, ekspertu darba grupu un pieredzes apmaiņas pasākumu organizēšanas izmaksas šo noteikumu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komunikācijas un vizuālās identitātes prasību nodrošināšanai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nomas, indukcijas cilpu nomas, zīmju valodas tulku un vieglās valodas tulkošanas pakalpojumu izmaksas, subtitrēšanas un reāllaika transkripcijas pakalpojumu izmaksas, ja tas ir nepieciešams vides un informācijas piekļūstamības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Atbildīgā iestāde izstrādā šo noteikumu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minēto personāla izmaksu metodiku un saskaņo to ar vadošo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regulas Nr. 2021/1060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un sadarbības partnerim projektā plāno kā vienu izmaksu pozīciju, piemērojot netiešo izmaksu vienoto likmi 15 procentu apmērā no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minētajām tiešajām personāla izmaksām saskaņā ar regulas Nr. 2021/1060 54. panta “b”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un sadarbības partneris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finansējums nevar tikt izmantots saimnieciskās darbības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ar saimniecisku darbību nesaistīts projekts tā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komercdarbības atbalstu kopā ar procentiem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ietvaros ir atbalstāma sociāli atbildīga un inovatīva iepirkuma īstenošana un vides prasību integrācija preču un pakalpojumu iepirkumos (zaļais publiskais iepirkums).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īstenošanai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mākslas un kultūras norišu bērniem un jauniešiem izvērtēšanu, lai noteiktu profesionālās mākslas un kultūras norises, kam piemīt pilsoniskās līdzdalības veicināšanas potenciāls, nodrošinot:</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izvērtējumā iekļaujot profesionālās mākslas un kultūras norises, kas pārstāv mūzikas, teātra, dejas, cirka, vizuālās mākslas, kino, arhitektūras, dizaina, kultūras mantojuma, literatūras un grāmatniecības nozares;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izvērtēšanu pēc dažādiem kritērijiem, tai skaitā vecumposma, vieglās valodas un citiem kritērijiem;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un izglītības nozares ekspertu iesaisti izvērtēšanas un atlases procesā;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noteiktās profesionālās mākslas un kultūras norišu aprobēšanas rezultātiem, nodrošina metodiskā materiāla izstrādi profesionālās mākslas un kultūras norišu veidotājiem, kā stiprināt profesionālās mākslas un kultūras norišu izmantošanu līdzdalības veicināšanā un demokrātijas principu iedzīvināšanā bērnu un jauniešu auditorijai, vienlaikus: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ietverot profesionālās mākslas un kultūras norišu potenciāla pilsoniskās līdzdalības veicināšanā pamatojumu;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ietverot pilsonisko līdzdalību un demokrātisku attieksmi veicinošu profesionālās mākslas un norišu piemēru aprakstus;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ietverot ieteikumu materiālus kultūras nozares profesionāļiem;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lektoru, nodarbību vadītāju iesaisti metodiskā materiāla izstrādē;</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ietverot atgriezeniskās saites apkopošana no bērniem un jauniešiem, kas piedalījās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noteiktajā profesionālās mākslas un kultūras norišu aprobēšanā;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nacionāla mēroga konferences izglītības un kultūras nozares sadarbībai pilsoniskās līdzdalības veicināšanai īstenošanu;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starptautiskas konferences par kultūras pieejamību, izmantojot kultūrizglītības programmas “Latvijas skolas soma” un līdzīgu iniciatīvu Eiropā pieredzi,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partneris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atlasa izglītības iestādes, ar ko kopā īstenot profesionālās mākslas un kultūras norišu aprobēšanu, tai skaitā no attālākiem lauku reģioniem un pierobežas;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šo noteikumu </w:t>
      </w:r>
      <w:r w:rsidR="00000000" w:rsidRPr="00000000" w:rsidDel="00000000">
        <w:rPr>
          <w:rtl w:val="0"/>
        </w:rPr>
        <w:t xml:space="preserve">34.1. </w:t>
      </w:r>
      <w:r w:rsidR="00000000" w:rsidRPr="00000000" w:rsidDel="00000000">
        <w:rPr>
          <w:rtl w:val="0"/>
        </w:rPr>
        <w:t xml:space="preserve">apakšpunktā</w:t>
      </w:r>
      <w:r w:rsidR="00000000" w:rsidRPr="00000000" w:rsidDel="00000000">
        <w:rPr>
          <w:rtl w:val="0"/>
        </w:rPr>
        <w:t xml:space="preserve"> veikto kultūras norišu izvērtējumu un atlasi, īsteno profesionālās mākslas un kultūras norišu aprobēšanu izglītības iestādēs un kopienās, piemēram, kultūras centros, bibliotēkās un muzejos, lai veicinātu kopienas iesaisti un pilsonisko līdzdalību, nodrošinot, ka: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mākslas un kultūras norišu aprobēšanai izglītības iestādēs ir izveidota darba grupa ar kultūras un izglītības nozares pārstāvjiem;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mākslas un kultūras norišu aprobēšanā ir iesaistīti izglītojamie, kuri mācību stundās un ārpus tām attīstījuši pilsoniskās līdzdalības prasmes, izmantojot profesionālās mākslas un kultūras kultūras norises;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atgriezeniskās saites apkopošana no bērniem un jauniešiem, kas piedalījušies profesionālās mākslas un kultūras norišu aprobēšanā;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mākslas un kultūras norišu aprobēšanas rezultātā saturā ir iekļauti sociāli aktuāli un vecumposmam atbilstoši jautājumi ar mērķi attīstīt bērnu un jauniešu auditorijas pilsonisko līdzdalību;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mākslas un kultūras norišu aprobēšanas rezultātā ir nodrošināta konkrētu piekļūstamības šķēršļu, tai skaitā ierobežotas valodas zināšanu, nepietiekamu sociālo prasmju, sociālekonomiskā stāvokļa, veselības vai attīstības traucējumu (vieglā valoda, surdotulkojumi), mazināšana;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pedagogu profesionālās pilnveides pasākumu īstenošanu, sekmējot kompetenci izmantot profesionālās mākslas un kultūras norises pilsoniskās līdzdalības veicināšanai, vienlaikus stiprinot pedagogu kapacitāti sniegt atbalstu citiem pedagogiem izmantot profesionālās mākslas un kultūras norises pilsoniskās līdzdalības sekmēšanai;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aprobācijas laikā iegūto labās prakses piemēru par profesionālās mākslas un kultūras norišu īstenošanu pilsoniskās līdzdalības veicināšanai apkopošanu un izplatīšanu;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metodiskā materiāla izstrādi pedagogiem profesionālās mākslas un kultūras norišu izmantošanai pilsoniskās līdzdalības veicināšanai un izglītojamo līdzdalībai norišu izvēles un plānošanas procesā, attīstot pilsonisko līdzdalību un demokrātisko attieksmi.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24-TA-3115</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24-TA-3115</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noteikumu_projekts_24-TA-3115.docx</dc:title>
</cp:coreProperties>
</file>

<file path=docProps/custom.xml><?xml version="1.0" encoding="utf-8"?>
<Properties xmlns="http://schemas.openxmlformats.org/officeDocument/2006/custom-properties" xmlns:vt="http://schemas.openxmlformats.org/officeDocument/2006/docPropsVTypes"/>
</file>