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 prioritātes "Klimata pārmaiņu mazināšana un pielāgošanās klimata pārmaiņām" 2.1.3. specifiskā atbalsta mērķa "Veicināt pielāgošanos klimata pārmaiņām, risku novēršanu un noturību pret katastrofām" 2.1.3.3. pasākuma "Katastrofu risku mazināšanas pasākumi" (turpmāk – pasākums) pirmo projektu iesniegumu atlases kārtu (turpmāk – pirmā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projektu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kārtas mērķis ir valsts agrīnās brīdināšanas sistēmas ietvaros ieviest sabiedrības brīdināšanas risinājumu, kas, izmantojot šūnu apraides tehnoloģiju, ļauj nosūtīt brīdinājumu par tiešiem un draudošiem ārkārtas notikumiem.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kārtas mērķa grupa ir Latvijas Republikas iedzīvotāji, Civilās aizsardzības un katastrofas pārvaldīšanas likuma 6. panta pirmajā daļā minētās ministrijas, to padotībā esošās institūcijas un pašvaldības, tūristi, kas viesojas Latvijā, un apdrošināšanas sabiedrības, kas sniedz pakalpojumus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Atbildīgās iestādes funkcijas pasākuma pirmās kārtas ietvaros pilda Iekšlietu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pirmās kārtas ietvaros sasniedzamas šādas iznākuma un rezultāta rādītāju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kas jāsasniedz līdz 2025. gada 30. jūnijam: investīcijas jaunās vai jauninātās katastrofu monitoringa, gatavības, brīdinājuma un reaģēšanas sistēmās attiecībā uz dabas katastrofām – 3 433 446 </w:t>
      </w:r>
      <w:r w:rsidR="00000000" w:rsidRPr="00000000" w:rsidDel="00000000">
        <w:rPr>
          <w:i w:val="1"/>
          <w:rtl w:val="0"/>
        </w:rPr>
        <w:t xml:space="preserve">euro</w:t>
      </w:r>
      <w:r w:rsidR="00000000" w:rsidRPr="00000000" w:rsidDel="00000000">
        <w:rPr>
          <w:rtl w:val="0"/>
        </w:rPr>
        <w:t xml:space="preserve">. Iznākuma rādītāja starpposma vērtība uz 2024. gada 31. decembri sasniedz 716 582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kas jāsasniedz līdz 2029. gada 31. decembrim: jaunu un jauninātu publisko digitālo pakalpojumu, produktu un procesu lietotāji (fiziskās personas) – 1 411 679.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pirmās kārtas plānotais un pieejamais kopējais finansējums ir 3 433 446 </w:t>
      </w:r>
      <w:r w:rsidR="00000000" w:rsidRPr="00000000" w:rsidDel="00000000">
        <w:rPr>
          <w:i w:val="1"/>
          <w:rtl w:val="0"/>
        </w:rPr>
        <w:t xml:space="preserve">euro</w:t>
      </w:r>
      <w:r w:rsidR="00000000" w:rsidRPr="00000000" w:rsidDel="00000000">
        <w:rPr>
          <w:rtl w:val="0"/>
        </w:rPr>
        <w:t xml:space="preserve">, tai skaitā Eiropas Reģionālās attīstības fonda finansējums – 2 918 429 </w:t>
      </w:r>
      <w:r w:rsidR="00000000" w:rsidRPr="00000000" w:rsidDel="00000000">
        <w:rPr>
          <w:i w:val="1"/>
          <w:rtl w:val="0"/>
        </w:rPr>
        <w:t xml:space="preserve">euro </w:t>
      </w:r>
      <w:r w:rsidR="00000000" w:rsidRPr="00000000" w:rsidDel="00000000">
        <w:rPr>
          <w:rtl w:val="0"/>
        </w:rPr>
        <w:t xml:space="preserve">un valsts budžeta līdzfinansējums – 515 017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intensitāte projekta iesniegumā norādītajai attiecināmajai izmaksu pozīcijai nepārsniedz 85 procentus Eiropas Reģionālās attīstības fonda finansējuma un 15 procentus valsts budžeta līdzfinansējuma no attiecīgās izmaksu pozīcijas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Reģionālās attīstības fonda finansējuma intensitāte nepārsniedz izmaksu un ieguvumu analīzē iegūto finansējuma deficīta procentuālo apmēru.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ir Iekšlietu ministrijas Informācijas centrs,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īstenošanā finansējuma saņēmējs kā sadarbības partneri iesaista Valsts ugunsdzēsības un glābšanas dienestu.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pirmās kārtas ietvaros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veic izmaksu un ieguvumu analīzi – finanšu analīzi un ekonomisko analīzi – un pievieno to projekta iesniegumam. Veicot izmaksu un ieguvumu analīzi, projekta iesniedzējs nodrošina, ka projekta kopējie ieguvumi un ietaupījumi ir lielāki par projekta investīciju un darbības izmaksām visā projekta pārskata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partnera galvenie pienākumi ir šādi: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nepieciešamo normatīvo regulējumu informācijas sistēmu darbināšanai;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projekta ietvaros izvirzīto prasību definēšanu.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sistēmu iegāde un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sistēmu integrācija ar ārējām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ieviešanas kvalitātes kontrole, auditi;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IKT infrastruktūras iegāde un konfigurācija;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apmācības, mācību materiālu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 saskaņā ar Eiropas Parlamenta un Padomes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sistēmu vai to ieviesto daļu uzturēšana projekta īstenošanas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pirmās kārtas tiešās attiecināmās izmaksas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sistēmu projektēšanas, izstrādes vai iegādes, ieviešanas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programmatūras licenču iegādes izmaksas, tai skaitā sistēmām, ar kurām projektu ietvaros paredzēta integrācija;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sistēmu programmatūras izstrādes, pielāgošanas un konfigurēšanas izmaksas, tai skaitā integrācijas saskarņu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informācijas sistēmu integrācijas saskarņu izstrādi un integrāciju ar citām sistēmām;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testēšanas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sistēmu administratoru un lietotāju apmācību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programmatūras lietotāja un administratora lietošanas atbalsta materiālu, tai skaitā interaktīvu materiālu un rokasgrāmatu,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sistēmu izstrādes vai iegādes kvalitātes kontroles izmaksas, lietojamības, drošības un veiktspējas auditu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un komunikācijas tehnoloģiju infrastruktūras pakalpojumu izmaksas projekta īstenošanas nodrošinājumam, tai skaitā mākoņdatošanas un saistīto pakalpojumu izmaksas informācijas sistēmu izstrādes un ieviešanas nodrošināšanai projekta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projekta mērķu sasniegšanai nepieciešamās datu centru un skaitļošanas infrastruktūras tehniskās infrastruktūras un tās darbināšanai nepieciešamās ražotāja sērijveida programmatūras iegādi: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masīvu iekārtu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infrastruktūras un ražotāja sērijveida programmatūras uzstādīšanas un konfigurēšanas izmaksas, tai skaitā licenču un uzturēšanas atbalsta atjauninājumu izmaksas licenču vai programmatūras darbības periodā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pārraides tīklu iekārtu iegādes izmaksas datu savienojumu vai datu transformācijas pieslēguma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personāla izmaksas, kuras saskaņā ar regulas Nr. 2021/1060 55. panta 1. punktu plāno kā vienu izmaksu pozīciju, piemērojot vienoto izmaksu likmi 5 procentu apmērā no projekta pārējām tiešajām attiecināmajām izmaksām, bet neieskaitot 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kas veiktas saskaņā ar regulas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vai tās ieviesto daļu uzturēšanas izmaksas no to izstrādes brīža projekta aktivitāšu apjomā, kas nepieciešamas informācijas sistēmas darbības nodrošināšanai projekta īstenošanas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darbības tiek veiktas, piemērojot Publisko iepirkumu likumu, ciktāl attiecīgās darbības neveic pasākuma pirmās kārtas īstenošanā iesaistīto institūciju personāls.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regulas Nr.  </w:t>
      </w:r>
      <w:r w:rsidR="00000000" w:rsidRPr="00000000" w:rsidDel="00000000">
        <w:rPr>
          <w:rtl w:val="0"/>
        </w:rPr>
        <w:t xml:space="preserve">2021/1060</w:t>
      </w:r>
      <w:r w:rsidR="00000000" w:rsidRPr="00000000" w:rsidDel="00000000">
        <w:rPr>
          <w:rtl w:val="0"/>
        </w:rPr>
        <w:t xml:space="preserve"> 64. panta 1. punkta "c" apakšpunktā minētajiem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pirmās kārtas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pirmās kārtas 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2025. gada 30. jūnijam.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ir atbildīgs par dubultā finansējuma riska novēršanu un nodrošina, lai pasākuma ietvaros plānotais atbalsts nepārklātos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Īstenojot projektu, finansējuma saņēmējs nodrošina komunikācijas un vizuālās identitātes pasākumus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Kohēzijas politikas fondu vadības informācijas sistēmā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faktiski sasniegtajiem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"civilās aizsardzības pasākumu skaits, kuros ir ņemtas vērā personām ar funkcionāliem traucējumiem vienlīdz efektīvas pakalpojumu un informācijas nodrošināšanas iespējas".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Sadarbības partneris nodrošina tā atbildības jomā esošo darbību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nepieciešamo normatīvo regulējumu informācijas sistēmu darbināšanai;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ietvaros izvirzīto prasību definēšanu.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Informācijas sistēmas izstrādātājs saņem no finansējuma saņēmēja gala maksājumu, kas nevar būt mazāks par 20 procentiem no informācijas sistēmas izstrādes līgumcenas, tikai pēc tam, kad ir parakstīts nodošanas un pieņemšanas akts par informācijas sistēmu izstrādi un ieviešanu un finansējuma saņēmējs ir pārliecinājies, ka izstrādātās informācijas sistēmas vai elektroniskais pakalpojums atbilst iepirkuma līgumā ietvertajiem uzdevumiem.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ka pasākuma pirmās kārtas īstenošanas pabeigšanas brīdī pirmās kārtas ietvaros izveidotā informācijas sistēma ir ieviesta produktīvā darbībā atbilstoši apstiprinātajam projekta iesniegumam.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ka informācija par pasākuma pirmās kārtas ietvaros izstrādāto informācijas sistēmu un tajā apstrādātajiem informācijas resursiem gan sistēmas projektēšanas, gan ieviešanas posmos tiek pilnīgi un savlaicīgi reģistrēta valsts informācijas resursu, sistēmu un sadarbspējas reģistrā no brīža, kad tas ir pieejams.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saņēmējam un sadarbības partnerim ir pienākums pirms pasākuma pirmās kārtas izsludināšanas izstrādāt nosacījumus, kas paredz kārtību, kādā tiks nodrošināta interešu konflikta neesība, identificēti apstākļi, kuri izraisa vai var izraisīt interešu konfliktu, kas rada apdraudējumu vai kaitējumu projekta īstenošanai, noteikti veicamie pasākumi un izstrādāti darbības plāni interešu konflikta preventīvai novēršanai un gadījumiem, kad interešu konflikts ir atklāts.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un sadarbības partneris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saņēmēja pienākums ir publiskos iepirkumus veikt saskaņā ar normatīvajiem aktiem publisko iepirkumu jomā, īstenojot konkurenci nodrošinošu, pārredzamu, atklātu, nediskriminējošu konkursa procedūru un, ja attiecināms, īstenojot sociāli atbildīgus un inovatīvus iepirkumus.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Saskaņā ar principa "nenodarīt būtisku kaitējumu" novērtējumu projektam ir paredzama nenozīmīga ietekme uz vides mērķiem.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24-TA-1663</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24-TA-1663</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noteikumu_konsolidētā_versija_24-TA-1663.docx</dc:title>
</cp:coreProperties>
</file>

<file path=docProps/custom.xml><?xml version="1.0" encoding="utf-8"?>
<Properties xmlns="http://schemas.openxmlformats.org/officeDocument/2006/custom-properties" xmlns:vt="http://schemas.openxmlformats.org/officeDocument/2006/docPropsVTypes"/>
</file>