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ārējo tirgu apguves aktivitātēm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Inovatīvas uzņēmējdarbības un prioritāro projektu atbalsta likuma 4.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sniedz atbalstu ārējo tirgu apguves aktivitātēm (turpmāk – atbalsta programma), t.sk.;</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atbalsta piešķiršanas kārtību un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lēmuma par piešķirtā finansējuma izlietojumu pieņemšanas un neatbilstošo izdevumu atgūšanas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komercdarbības atbalsta uzskaiti, neatbalstāmās nozares un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lietots termins atbalsta saņēmējs –  gala labuma guvējs, kas atbilst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lielais komersants, kas atbilst Komisijas 2014. gada 17. jūnija Regulas (ES) Nr.  651/2014, ar ko noteiktas atbalsta kategorijas atzīst par saderīgām ar iekšējo tirgu, piemērojot Līguma 107. un 108. pantu (turpmāk – Komisijas regula Nr.  651/2014), tajā skaitā valsts kapitālsabiedrības,  pašvaldības, Speciālo ekonomisko zonu (turpmāk - SEZ) pārvaldes, ostu pārvaldes,  plānošanas reģioni, zinātniskā institūcijas un augstskolas.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iesniegšanas dienā vai precizētā projekta iesniegšanas dienā saskaņā ar Valsts ieņēmumu dienesta administrēto nodokļu (nodevu) parādnieku datubāzē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1.3 un 1.7 daļu ir pagarināts, sadalīts termiņos, atlikts vai atkārtoti sadalīts termiņos, vai attiecībā uz kuriem ir noslēgts vienošanās līgums saskaņā ar likuma "Par nodokļiem un nodevām" 41. pantu (ja attiecināms).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mērķis ir nodrošināt finansējuma pieejamību ārējo tirgu apguves aktivitātēm, kas veicina investīciju piesaisti un eksporta pieaugumu. Plānotā atbalsta saņemšana saistīta ar nepieciešamību nodrošināt investīciju projektu attīstību un eksportspējas palielināšanu.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Noteikumu ietvaros atbalstu sniedz Latvijas Investīciju un attīstības aģentūra (turpmāk – aģentūra).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 un aģentūra slēdz līgumu par atbalsta programmas ieviešanu un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Atbalstu piešķir atklātas projektu iesniegumu atlases veidā. Atbalsta saņēmēju projekta iesniegumu iesniegšana atvērta, kamēr pieejams finansējums.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programmas īstenošanai ir pieejams finansējums atbilstoši valsts budžetā pieejamajam finansējumam, tajā skaitā šo noteikumu 28. un 29. punktā minētajām attiecināmajām izmaksām un darbībām.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Atbalsts noteikumu ietvaros tiek sniegts: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granta veidā saskaņā ar Eiropas Komisijas 2023. gada 13. decembra Regulu (ES) Nr. 2023/2831 par Līguma par Eiropas Savienības darbību 107. un 108. panta piemērošanu de minimis atbalstam (turpmāk – Komisijas regula Nr. 2023/2831 valsts kapitālsabiedrībām un lieliem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brīvs no komercdarbības atbalsta, ja valsts kapitālsabiedrībām, pašvaldībām un to iestādēm, SEZ pārvaldēm, ostu pārvaldēm, plānošanas reģioniem, valsts zinātniskām institūcijām un augstskolām ir deleģēts valsts pārvaldes uzdevums.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nefinanšu atbalsta veidā, ja aktivitātes komersantiem nodrošina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Noteikumu ietvaros atbalsta saņēmējam, kas nodrošina projekta īstenošanu, atbalstāmas ir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dalība starptautiskajās izstādēs ārvalstīs un Latvijā ar stendu vai kopstendu, konferencēs ārvalstīs ar stendu vai ar prezentāciju, dalība kontaktbiržās ārvalstīs klātienē vai tiešsaistē;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dalība aģentūras organizētajos nacionālajos stendos ārvalstīs;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dalība aģentūras organizētās uzņēmējdarbības vizītēs ārvalstīs un ienākošajās uzņēmējdarbības vizītēs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atbilstošās nozares eksperta piesaiste eksporta tirgos eksporta tirgus stratēģijas izstrādei un īstenošanai, kā arī ārvalstu tirdzniecības aģenta piesaiste tirgus darbības pārorientācijai ārvalstu atbilstošās nozares tirdzniecības aģenta vai eksperta piesaiste eksporta veicināšanai, tirgus darbības pārorientācijai;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tirgus apguvei mārketinga  kampaņu, vizuālo materiālu izmaksu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produkta palaišanu eksporta tirgū saistīta reklāmas kampaņa;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mārketinga vizuālo materiālu (bukletu, baneru vai videoklipu)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mērķa tirgus pētījums.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darbību īstenošanā attiecināmas ir šādas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Oficiālā organizatora un tā saistītā pakalpojuma sniedzēja noteiktā dalības maksa, ja tiek ņemta dalība starptautiskajās izstādēs ārvalstīs un Latvijā ar stendu vai kopstendu, konferencēs ārvalstīs ar stendu vai ar prezentāciju, dalība kontaktbiržās ārvalstīs klātienē vai tiešsaistē: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maksa;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nomas maksa par stenda konstrukciju un ekspozīcijas laukumu;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 par stenda noformējumu;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minētās atbalstāmās darbības īstenošanai ir attiecināma organizāciju noteiktā dalības maksa, tai skaitā līdzdalības maksa dažādu starptautisku pētījumu izstrādē;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10.8. </w:t>
      </w:r>
      <w:r w:rsidR="00000000" w:rsidRPr="00000000" w:rsidDel="00000000">
        <w:rPr>
          <w:rtl w:val="0"/>
        </w:rPr>
        <w:t xml:space="preserve">apakšpunktā</w:t>
      </w:r>
      <w:r w:rsidR="00000000" w:rsidRPr="00000000" w:rsidDel="00000000">
        <w:rPr>
          <w:rtl w:val="0"/>
        </w:rPr>
        <w:t xml:space="preserve"> minēto atbalstāmo darbību nodrošināšanai ir attiecināmas tirgus pētījumu iegādes un izstrādes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telemārketinga pakalpojumi ārvalstu sadarbības partneru meklēšanai (pieejas tiesību iegādes izmaksas ārējām datubāzēm, datu monitoringa un datu analīzes rīku iegādes un izmantošanas izmaksas),līdz 8 000 euro kalendārā gada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transporta (ceļa izdevumi), kas saistīti ar neregulāro lidojumu un starpvalstu ekonomiskās vai tam pielīdzināmas klases sabiedriskā transporta (dzelzceļa, gaisa un ūdens transporta un starpvalstu koplietošanas autotransporta (autobusa)) izmantošanu (tai skaitā transporta pakalpojuma sniedzēja noteiktā papildu maksa, bez kuras pamatpakalpojumu nav iespējams iegādāties, un bagāžas maksa) , ja tiek īstenotas šo noteikumu  </w:t>
      </w:r>
      <w:r w:rsidR="00000000" w:rsidRPr="00000000" w:rsidDel="00000000">
        <w:rPr>
          <w:rtl w:val="0"/>
        </w:rPr>
        <w:t xml:space="preserve">10.1.</w:t>
      </w:r>
      <w:r w:rsidR="00000000" w:rsidRPr="00000000" w:rsidDel="00000000">
        <w:rPr>
          <w:rtl w:val="0"/>
        </w:rPr>
        <w:t xml:space="preserve"> , </w:t>
      </w:r>
      <w:r w:rsidR="00000000" w:rsidRPr="00000000" w:rsidDel="00000000">
        <w:rPr>
          <w:rtl w:val="0"/>
        </w:rPr>
        <w:t xml:space="preserve">10.2.</w:t>
      </w:r>
      <w:r w:rsidR="00000000" w:rsidRPr="00000000" w:rsidDel="00000000">
        <w:rPr>
          <w:rtl w:val="0"/>
        </w:rPr>
        <w:t xml:space="preserve"> un </w:t>
      </w:r>
      <w:r w:rsidR="00000000" w:rsidRPr="00000000" w:rsidDel="00000000">
        <w:rPr>
          <w:rtl w:val="0"/>
        </w:rPr>
        <w:t xml:space="preserve">10.3. </w:t>
      </w:r>
      <w:r w:rsidR="00000000" w:rsidRPr="00000000" w:rsidDel="00000000">
        <w:rPr>
          <w:rtl w:val="0"/>
        </w:rPr>
        <w:t xml:space="preserve">apakšpunktos</w:t>
      </w:r>
      <w:r w:rsidR="00000000" w:rsidRPr="00000000" w:rsidDel="00000000">
        <w:rPr>
          <w:rtl w:val="0"/>
        </w:rPr>
        <w:t xml:space="preserve"> minētās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noteiktā dalības maksa, ja tiek īstenotas darbības, kas minētas šo noteikumu </w:t>
      </w:r>
      <w:r w:rsidR="00000000" w:rsidRPr="00000000" w:rsidDel="00000000">
        <w:rPr>
          <w:rtl w:val="0"/>
        </w:rPr>
        <w:t xml:space="preserve">10.2.</w:t>
      </w:r>
      <w:r w:rsidR="00000000" w:rsidRPr="00000000" w:rsidDel="00000000">
        <w:rPr>
          <w:rtl w:val="0"/>
        </w:rPr>
        <w:t xml:space="preserve"> , </w:t>
      </w:r>
      <w:r w:rsidR="00000000" w:rsidRPr="00000000" w:rsidDel="00000000">
        <w:rPr>
          <w:rtl w:val="0"/>
        </w:rPr>
        <w:t xml:space="preserve">10.3.</w:t>
      </w:r>
      <w:r w:rsidR="00000000" w:rsidRPr="00000000" w:rsidDel="00000000">
        <w:rPr>
          <w:rtl w:val="0"/>
        </w:rPr>
        <w:t xml:space="preserve"> . un </w:t>
      </w:r>
      <w:r w:rsidR="00000000" w:rsidRPr="00000000" w:rsidDel="00000000">
        <w:rPr>
          <w:rtl w:val="0"/>
        </w:rPr>
        <w:t xml:space="preserve">10.4. </w:t>
      </w:r>
      <w:r w:rsidR="00000000" w:rsidRPr="00000000" w:rsidDel="00000000">
        <w:rPr>
          <w:rtl w:val="0"/>
        </w:rPr>
        <w:t xml:space="preserve">apakšpunkto</w:t>
      </w:r>
      <w:r w:rsidR="00000000" w:rsidRPr="00000000" w:rsidDel="00000000">
        <w:rPr>
          <w:rtl w:val="0"/>
        </w:rPr>
        <w:t xml:space="preserv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atbilstošās nozares eksperta pakalpojuma izmaksas eksporta tirgus stratēģijas izstrādei un īstenošanai dalībnieka eksporta tirgos, kā arī tirdzniecības aģentu pakalpojumu piesaistes izmaksas tirgus darbības pārorientācijai, ja tiek īstenotas darbības, kas minētas šo noteikumu </w:t>
      </w:r>
      <w:r w:rsidR="00000000" w:rsidRPr="00000000" w:rsidDel="00000000">
        <w:rPr>
          <w:rtl w:val="0"/>
        </w:rPr>
        <w:t xml:space="preserve">10.1.</w:t>
      </w:r>
      <w:r w:rsidR="00000000" w:rsidRPr="00000000" w:rsidDel="00000000">
        <w:rPr>
          <w:rtl w:val="0"/>
        </w:rPr>
        <w:t xml:space="preserve"> ., </w:t>
      </w:r>
      <w:r w:rsidR="00000000" w:rsidRPr="00000000" w:rsidDel="00000000">
        <w:rPr>
          <w:rtl w:val="0"/>
        </w:rPr>
        <w:t xml:space="preserve">10.2.</w:t>
      </w:r>
      <w:r w:rsidR="00000000" w:rsidRPr="00000000" w:rsidDel="00000000">
        <w:rPr>
          <w:rtl w:val="0"/>
        </w:rPr>
        <w:t xml:space="preserve"> , </w:t>
      </w:r>
      <w:r w:rsidR="00000000" w:rsidRPr="00000000" w:rsidDel="00000000">
        <w:rPr>
          <w:rtl w:val="0"/>
        </w:rPr>
        <w:t xml:space="preserve">10.3. </w:t>
      </w:r>
      <w:r w:rsidR="00000000" w:rsidRPr="00000000" w:rsidDel="00000000">
        <w:rPr>
          <w:rtl w:val="0"/>
        </w:rPr>
        <w:t xml:space="preserve">apakšpunktos</w:t>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reklāmas kampaņas izstrādi un vadību saistīts izmaksas, ja tiek īstenotas </w:t>
      </w:r>
      <w:r w:rsidR="00000000" w:rsidRPr="00000000" w:rsidDel="00000000">
        <w:rPr>
          <w:rtl w:val="0"/>
        </w:rPr>
        <w:t xml:space="preserve">10.5. </w:t>
      </w:r>
      <w:r w:rsidR="00000000" w:rsidRPr="00000000" w:rsidDel="00000000">
        <w:rPr>
          <w:rtl w:val="0"/>
        </w:rPr>
        <w:t xml:space="preserve">apakšpunktā</w:t>
      </w:r>
      <w:r w:rsidR="00000000" w:rsidRPr="00000000" w:rsidDel="00000000">
        <w:rPr>
          <w:rtl w:val="0"/>
        </w:rPr>
        <w:t xml:space="preserve"> minētā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mārketinga vizuālo materiālu izstrādi līdz maketam saistītas izmaksas (materiālu izgatavošanas, drukāšanas un pavairošanas izmaksas nav attiecināmas), ja tiek īstenota šo noteikumu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 vai </w:t>
      </w:r>
      <w:r w:rsidR="00000000" w:rsidRPr="00000000" w:rsidDel="00000000">
        <w:rPr>
          <w:rtl w:val="0"/>
        </w:rPr>
        <w:t xml:space="preserve">10.3. </w:t>
      </w:r>
      <w:r w:rsidR="00000000" w:rsidRPr="00000000" w:rsidDel="00000000">
        <w:rPr>
          <w:rtl w:val="0"/>
        </w:rPr>
        <w:t xml:space="preserve">,apakšpunktos</w:t>
      </w:r>
      <w:r w:rsidR="00000000" w:rsidRPr="00000000" w:rsidDel="00000000">
        <w:rPr>
          <w:rtl w:val="0"/>
        </w:rPr>
        <w:t xml:space="preserve"> minētās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mērķa tirgus pētījuma izstrādes un iegādes izmaksas, ja tiek īstenota šo noteikumu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 vai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Noteikumu ietvaros netiek atbalstītas darbības, kas saistītas ar importa apjoma palielināšanu, Latvijas tirgus apgūšanu vai nostiprināšanos tajā, kā arī konkurētspējas veicināšanu Latvijas tirgū.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Aģentūra, atbalsta programmas ietvaros uzkrāj un uzglabā: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atbalsta saņēmēja preču vai pakalpojumu eksporta apjomu salīdzinājumā ar eksporta apjomu gadā, kad tika saņemts atbalsts, līdz 2030.gada 31. decembrim;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atbalsta saņēmēja piesaistīto investīciju apjomu  salīdzinājumā ar saņemtā atbalsta apjomu, līdz 2030.gada 31.decembrim.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Komercdarbības atbalsta piešķiršanas kārtība un kritēriji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Aģentūra pirms atlases uzsākšanas izstrādā un publicē  atbalsta saņēmēju atlases kārtību un komercdarbības atbalsta piešķiršanas nosacījumus (tai skaitā pieejamo atbalsta apjomu) un uzskaiti.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pretendents atbalstam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minētajām darbībām piesakās atbilstoši saņēmēju atlases noteiktajām prasībām, iesniedzot pieteikumu strukturētā formā valsts platformā biznesa attīstībai www.business.gov.lv.</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Atbalsta pretendents, piesakoties atbalstam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norādītajā kārtībā, iesniedz de minimis atbalsta uzskaites sistēmā (turpmāk – sistēma) sagatavoto veidlapas izdruku vai norāda sistēmā izveidotās un apstiprinātās pretendenta veidlapas identifikācijas numuru.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Atbalsta pretendents nevar pretendēt uz atbalsta saņemšanu, ja 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atbalsta piešķiršanas brīdi uz to ir attiecināms kāds no Eiropas Savienības fondu 2021.–2027. gada plānošanas perioda vadības likuma 22. pantā noteiktajiem projekta iesniedzēju izslēgšanas nosacījumiem, ievērojot šī likuma 22.panta otrās sadaļas izņēmumu.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Sniegtais atbalsts tiek piešķirts ar aģentūras lēmumu un ir uzskatāms par komercdarbības atbalstu atbalsta saņēmējam, ievērojot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Lēmuma pieņemšanas diena ir uzskatāma par komercdarbības atbalsta piešķiršanas brīdi.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Aģentūra uzskaita atbalstu, kas sniegts saskaņā ar Komisijas regulu Nr. 2023/2831, ievērojot prasības normatīvajos aktos par de minimis atbalsta uzskaites un piešķiršanas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Maksimālā atbalsta summa viena kalendārā gada laikā ir 50 000 euro un  intensitāte,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minētajām darbībām un izmaksām, kas nav saistītas ar komercdarbības atbalstu, ir līdz  85%. Izmaksas, kas tiek segtas nefinanšu un granta veidā un tās tiek sniegts saskaņā ar Komisijas regulu Nr. 2023/2831, tad atbalsta saņēmējam: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atbilstot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minētajam, atbalsta intensitāte ir līdz 60%;</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saņēmējs atbilstot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minētajam un ir atvasināta publiska persona, tad atbalsta intensitāte ir līdz 85%.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noteiktās atbalsta intensitātes tiek piemērotas izmaksām bez pievienotās vērtības nodokļa.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Noteikumu atbalstāmo darbību ietvaros ir attiecināms pievienotās vērtības nodoklis tiešajām attiecināmajām izmaksām atbilstoši regulas Nr.  2021/1060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Atbalsta saņēmējs, kurš nav pievienotās vērtības nodokļa maksātājs, var attiecināt pievienotās vērtības nodokļa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Aģentūra, pirms de minimis atbalsta piešķiršanas atbalsta saņēmējam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Aģentūra lēmumu par de minimis atbalsta piešķiršanu var pieņemt  ievērojot Komisijas regulas Nr. 2023/2831 7. panta 3. punktā un 8. pantā noteikto darbības termiņu.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Aģentūra un atbalsta saņēmējs nodrošina informācijas pieejamību 10 gadus, skaitot no atbalsta piešķiršanas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finansējuma saņēmējs vienlaikus darbojas Komisijas regulas Nr. 2023/2831 1. panta 1. punkta "a", "b", "c" vai "d" apakšpunktā minētajās nozarēs vai vairākās citās nozarēs, uz kurām attiecas šīs regulas darbības joma, tas nodrošina šo nozaru darbību vai izmaksu nodalīšanu.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Atbalsta programmas ietvaros aģentūrai, kas nodrošina atbalsta programmas  īstenošanu, kā atbalstāmā darbība ir tās administrēšana, tai skaitā iepirkumu organizēšana.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Attiecināmās izmaksas ir aģentūras valsts noteiktās funkcijas īstenošanas nodrošināšanai saskaņā ar Ministru kabineta 2012. gada 11. decembra noteikumiem Nr. 857 "Latvijas Investīciju un attīstības aģentūras nolikums".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Iepirkumus aģentūra un atbalsta saņēmējs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Līgumos, kurus aģentūra slēdz ar piegādātājiem un pakalpojuma sniedzējiem, avansa maksājumus var paredzēt līdz 100 procentiem no attiecīgā līguma summas atbilstoši aģentūras izstrādātajiem avansa apjoma noteikšanas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Aģentūra atbalsta programmas īstenošanas laikā nepieļauj interešu konfliktu saskaņā ar Eiropas Parlamenta un Padomes 2024. gada 23. septembra Regulas Nr. 2024/2509 par finanšu noteikumiem, ko piemēro Savienības vispārējam budžetam (turpmāk – regula Nr. 2024/2509), 61. panta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Aģentūra, atbalsta programmas īstenošanai, nodrošina šādu prasību ievērošanu: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Publisko iepirkumu likumu, regulu Nr. 2024/2509 un likumu "Par interešu konflikta novēršanu valsts amatpersonu darbībā";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ietver de minimis atbalsta sniegšanas kārtību saskaņā ar Komisijas regulu Nr. 2023/2831 un normatīvajiem aktiem par de minimis atbalsta uzskaiti un piešķiršanu.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Līgumā ar atbalsta saņēmēju tiek paredzēts, ka atbalsta saņēmējs  13. punktā minēto informāciju  sniedz piecus gadus, norādot eksporta apjoma pieaugumu, kas ir šo noteikumu ietvaros saņemtā atbalsta rezultāts. Informācijas uzkrāšana tiek sākta no brīža, kad pieņemts lēmums par atbalsta piešķiršanu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tiek pārkāpti Komisijas regulas Nr. 2023/2831 nosacījumi, atbalsta saņēmējam ir pienākums atmaksāt atbalsta sniedzējam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25-TA-867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25-TA-867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noteikumu_projekts_25-TA-867.docx</dc:title>
</cp:coreProperties>
</file>

<file path=docProps/custom.xml><?xml version="1.0" encoding="utf-8"?>
<Properties xmlns="http://schemas.openxmlformats.org/officeDocument/2006/custom-properties" xmlns:vt="http://schemas.openxmlformats.org/officeDocument/2006/docPropsVTypes"/>
</file>