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Nekustamā īpašuma darījumu starpnieku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Nekustamā īpašuma darījumu starpnieku darbības likumā (Latvijas Vēstnesis, 2020, 119.C nr.; 2023, 99.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izņemot 4.</w:t>
      </w:r>
      <w:r w:rsidR="00000000" w:rsidRPr="00000000" w:rsidDel="00000000">
        <w:rPr>
          <w:vertAlign w:val="superscript"/>
          <w:rtl w:val="0"/>
        </w:rPr>
        <w:t xml:space="preserve">1</w:t>
      </w:r>
      <w:r w:rsidR="00000000" w:rsidRPr="00000000" w:rsidDel="00000000">
        <w:rPr>
          <w:rtl w:val="0"/>
        </w:rPr>
        <w:t xml:space="preserve"> pantu, 14. panta pirmo un otro daļu, 15. pantu, 17. pantu un pārejas noteikumu 5. punktu, vārdus "Ekonomikas ministrija" (attiecīgā locījumā) ar vārdiem "Reģistra pārzinis"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I nodaļu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Valsts pārvaldes uzdevuma izpilde</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Nekustamo īpašumu darījumu starpnieku reģistrāciju un nekustamā īpašuma darījumu starpnieku reģistra (turpmāk – reģistrs) uzturēšanu veic biedrība "Latvijas Nekustamo īpašumu darījumu asociācija" (turpmāk – Reģistra pārzinis).</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Reģistra pārzinis, pildot šā panta pirmajā daļā noteiktos valsts pārvaldes uzdevumus, atrodas Ekonomikas ministrijas funkcionālajā pakļautībā. Ekonomikas ministrija un Reģistra pārzinis slēdz līgumu par Reģistra pārzinim deleģēta valsts pārvaldes uzdevuma izpildi.</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Reģistra pārziņa izdevumi, kas saistīti ar šā panta pirmajā daļā noteiktā valsts pārvaldes uzdevuma izpildi, tiek segti no pakalpojuma maksas par nekustamo īpašumu darījumu starpnieka iekļaušanu reģistrā un uzraudzību."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 panta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Reģistra pārzinis nodrošina reģistra aktualizēšanu un publisku pieejamību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ar "d" un "e" apakšpunktu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"d) kompetentās iestādes izziņu par sodāmības neesību attiecībā uz šā likuma 5. panta pirmās daļas 2. punktā minētajiem noziedzīgajiem nodarījumiem, ja nekustamā īpašuma darījumu starpnieks ir Latvijas pilsonis, nepilsonis, rezidents vai cita fiziskā persona, kas nav minēta šā punkta "c" apakšpunktā,</w:t>
      </w:r>
      <w:r w:rsidR="00000000" w:rsidRPr="00000000" w:rsidDel="00000000">
        <w:rPr>
          <w:rtl w:val="0"/>
        </w:rPr>
        <w:t xml:space="preserve">
</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e) dokumentus, kas apliecina, ka juridiskajai personai, kas nav minēta šā punkta "c" apakšpunktā, nav piemērots piespiedu ietekmēšanas līdzeklis – likvidācija vai tāds tiesību ierobežojums, kas liedz sniegt starpniecības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15.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pants. Ekonomikas ministrijas un Reģistra pārziņa tiesības</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Ekonomikas ministrijai un Reģistra pārzinim ir tiesības pieprasīt un saņemt no nekustamā īpašuma darījumu starpnieka informāciju, dokumentus un citus materiālus par starpniecības pakalpojumiem, lai pārbaudītu, kā tas ievēro šā likuma prasības.</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Ekonomikas ministrijai ir tiesības piekļūt ministrijas uzdevumu veikšanai nepieciešamajai visu veidu informācijai, kas iekļauta reģistros, informācijas sistēmās un datubāzēs, un iepazīties ar to šā likuma prasību izpildē."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17. pantu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Lēmumu apstrīdēšana un pārsūdzēšana</w:t>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Reģistra pārziņa lēmumu par nekustamā īpašuma darījumu starpnieka reģistrēšanu vai izslēgšanu no reģistra var apstrīdēt Ekonomikas ministrijā un pārsūdzēt tiesā Administratīvā procesa likumā noteiktajā kārtībā.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Lēmuma par nekustamā īpašuma darījumu starpnieka izslēgšanu no reģistra apstrīdēšana un pārsūdzēšana neaptur lēmuma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25-TA-1850</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25-TA-1850</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likumprojekts_(grozījumi)_25-TA-1850.docx</dc:title>
</cp:coreProperties>
</file>

<file path=docProps/custom.xml><?xml version="1.0" encoding="utf-8"?>
<Properties xmlns="http://schemas.openxmlformats.org/officeDocument/2006/custom-properties" xmlns:vt="http://schemas.openxmlformats.org/officeDocument/2006/docPropsVTypes"/>
</file>