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decembrī (prot. Nr. 78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dalības laika pagarināšanu Eiropas Drošības un sadarbības organizācijas Speciālajā novērošanas misijā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</w:t>
      </w:r>
      <w:r w:rsidR="00000000" w:rsidRPr="00000000" w:rsidDel="00000000">
        <w:rPr>
          <w:rtl w:val="0"/>
        </w:rPr>
        <w:t xml:space="preserve"> otro daļu, atbalstīt civilā eksperta Reiņa Janevica (personas kods (ierobežotas pieejamības informācija)) (turpmāk – civilais eksperts) dalības laika pagarināšanu Eiropas Drošības un sadarbības organizācijas Speciālajā novērošanas misijā Ukrainā (turpmāk – starptautiskā misija).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</w:t>
      </w:r>
      <w:r w:rsidR="00000000" w:rsidRPr="00000000" w:rsidDel="00000000">
        <w:rPr>
          <w:rtl w:val="0"/>
        </w:rPr>
        <w:t xml:space="preserve">  (turpmāk – noteikumi) </w:t>
      </w:r>
      <w:r w:rsidR="00000000" w:rsidRPr="00000000" w:rsidDel="00000000">
        <w:rPr>
          <w:rtl w:val="0"/>
        </w:rPr>
        <w:t xml:space="preserve">11. punktu</w:t>
      </w:r>
      <w:r w:rsidR="00000000" w:rsidRPr="00000000" w:rsidDel="00000000">
        <w:rPr>
          <w:rtl w:val="0"/>
        </w:rPr>
        <w:t xml:space="preserve"> pagarināt civilā eksperta dalības laiku starptautiskajā misijā līdz 2022. gada 9. 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noteikumu </w:t>
      </w:r>
      <w:r w:rsidR="00000000" w:rsidRPr="00000000" w:rsidDel="00000000">
        <w:rPr>
          <w:rtl w:val="0"/>
        </w:rPr>
        <w:t xml:space="preserve">7.4. apakšpunktu</w:t>
      </w:r>
      <w:r w:rsidR="00000000" w:rsidRPr="00000000" w:rsidDel="00000000">
        <w:rPr>
          <w:rtl w:val="0"/>
        </w:rPr>
        <w:t xml:space="preserve">, noteikt civilajam ekspertam koeficientu 1,5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Paredzēt, ka saskaņā ar noteikumu 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 un  </w:t>
      </w:r>
      <w:r w:rsidR="00000000" w:rsidRPr="00000000" w:rsidDel="00000000">
        <w:rPr>
          <w:rtl w:val="0"/>
        </w:rPr>
        <w:t xml:space="preserve">18. punktu</w:t>
      </w:r>
      <w:r w:rsidR="00000000" w:rsidRPr="00000000" w:rsidDel="00000000">
        <w:rPr>
          <w:rtl w:val="0"/>
        </w:rPr>
        <w:t xml:space="preserve"> civilajam ekspertam tiek izmaksāts atalgojums (minimālās mēneša darba algas apmērā) – 2021. gadā 334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2022. gadā 5667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piemaksa – 2021. gadā 1755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2022. gadā 27 913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Ārlietu ministrijai veikt valsts sociālās apdrošināšanas iemaksas – 2021. gadā 493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2022. gadā 7922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starptautiskās misijas finansēšanas noteikumus, paredzēt, ka saskaņā ar noteikumu </w:t>
      </w:r>
      <w:r w:rsidR="00000000" w:rsidRPr="00000000" w:rsidDel="00000000">
        <w:rPr>
          <w:rtl w:val="0"/>
        </w:rPr>
        <w:t xml:space="preserve">19.2. apakšpunkt</w:t>
      </w:r>
      <w:r w:rsidR="00000000" w:rsidRPr="00000000" w:rsidDel="00000000">
        <w:rPr>
          <w:rtl w:val="0"/>
        </w:rPr>
        <w:t xml:space="preserve">u civilajam ekspertam sedz veselības un dzīvības apdrošināšanas izdevumus, nepārsniedzot 1543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gadā (2021. gadā 92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2022. gadā 1 452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2582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šā rīkojuma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5.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sagatavot un 2022. gadā iesniegt Ministru kabinetā rīkojuma projektu par līdzekļu piešķiršanu 2022. gadā no valsts budžeta programmas 02.00.00 "Līdzekļi neparedzētiem gadījumiem" 43 045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civilā eksperta darbības nodrošināšanai no 2022. gada 1. janvāra.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21-TA-1192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21-TA-1192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