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Būvniecības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Būvniecības likumā (Latvijas Vēstnesis, 2013, 146. nr.; 2014, 21., 84., 140. nr.; 2015, 122., 251. nr.; 2016, 241. nr.; 2017, 128. nr.; 2019, 41., 248.A nr.; 2020, 244. nr.; 2021, 84.B, 160.A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Iekšlietu ministrijas vai to padotībā esošo iestāžu vajadzībām nepieciešamo būvju būvniecību valsts robežas joslā, patrulēšanas joslā un robežzīmju uzraudzības joslā, kā arī būvju būvniecību, kuru daļa atrodas ārpus valsts robežas joslas, patrulēšanas joslas un robežzīmju uzraudzības joslas;".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pārejas noteikumu 28.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Līdz šā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 "c" apakšpunkta spēkā stāšanās dienai ierosinātās būvniecības tiesiskuma kontroli veic attiecīgā būvvalde. Minētais nosacījums nav attiecināms uz valsts robežas joslas, patrulēšanas joslas un robežzīmju uzraudzības joslas būvniecības projektiem."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Golubeva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22-TA-329</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22-TA-329</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likumprojekts_(grozījumi)_22-TA-329.docx</dc:title>
</cp:coreProperties>
</file>

<file path=docProps/custom.xml><?xml version="1.0" encoding="utf-8"?>
<Properties xmlns="http://schemas.openxmlformats.org/officeDocument/2006/custom-properties" xmlns:vt="http://schemas.openxmlformats.org/officeDocument/2006/docPropsVTypes"/>
</file>