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Tieslietu ministrijai 236 626 </w:t>
      </w:r>
      <w:r w:rsidR="00000000" w:rsidRPr="00000000" w:rsidDel="00000000">
        <w:rPr>
          <w:i w:val="1"/>
          <w:rtl w:val="0"/>
        </w:rPr>
        <w:t xml:space="preserve">euro</w:t>
      </w:r>
      <w:r w:rsidR="00000000" w:rsidRPr="00000000" w:rsidDel="00000000">
        <w:rPr>
          <w:rtl w:val="0"/>
        </w:rPr>
        <w:t xml:space="preserve"> pārskaitīšanai reliģiskajai organizācijai "Romas katoļu baznīcas Rēzeknes‒Aglonas diecēze", lai nodrošinātu Aglonas bazilikas svētceļnieku komunikācijas centra ēkai Aloīza Broka ielā 8A, Aglonā, un klostera ēkai Cirīša ielā 8, Aglonā, nepieciešamo tehnisko aprīkojumu.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21-TA-843</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21-TA-843</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rīkojuma_projekts_21-TA-843.docx</dc:title>
</cp:coreProperties>
</file>

<file path=docProps/custom.xml><?xml version="1.0" encoding="utf-8"?>
<Properties xmlns="http://schemas.openxmlformats.org/officeDocument/2006/custom-properties" xmlns:vt="http://schemas.openxmlformats.org/officeDocument/2006/docPropsVTypes"/>
</file>