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3. martā (prot. Nr. 11 54.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budžeta dotācijas piešķiršanu Eiropas Savienības ārējās robežas pašvaldībām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likuma </w:t>
      </w:r>
      <w:r w:rsidR="00000000" w:rsidRPr="00000000" w:rsidDel="00000000">
        <w:rPr>
          <w:rtl w:val="0"/>
        </w:rPr>
        <w:t xml:space="preserve">"Par valsts budžetu 2026. gadam un budžeta ietvaru 2026., 2027. un 2028. gadam"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35. panta</w:t>
      </w:r>
      <w:r w:rsidR="00000000" w:rsidRPr="00000000" w:rsidDel="00000000">
        <w:rPr>
          <w:rtl w:val="0"/>
        </w:rPr>
        <w:t xml:space="preserve"> 3. punktu Finanšu ministrijai piešķirt valsts budžeta dotāciju 3 000 000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Eiropas Savienības ārējās robežas pašvaldībām atbilstoši Eiropas Savienības ārējās robežas garumam,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Alūksnes novadam (pašvaldības kods 0021000) – 382 964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Augšdaugavas novadam (pašvaldības kods 0022000) – 264 644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Balvu novadam (pašvaldības kods 0024000) – 581 097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Krāslavas novadam (pašvaldības kods 0032000) – 784 131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Ludzas novadam (pašvaldības kods 0037000) – 987 164 </w:t>
      </w:r>
      <w:r w:rsidR="00000000" w:rsidRPr="00000000" w:rsidDel="00000000">
        <w:rPr>
          <w:i w:val="1"/>
          <w:rtl w:val="0"/>
        </w:rPr>
        <w:t xml:space="preserve">euro.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kasei 10 darbdienu laikā pēc šā rīkojuma spēkā stāšanās dienas pārskaitīt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dotāciju uz attiecīgo pašvaldību norādītajiem kontiem, uz kuriem Valsts kase pārskaita dotāciju no pašvaldību finanšu izlīdzināšanas fonda.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vietā - 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26-TA-115</w:t>
    </w:r>
    <w:r>
      <w:br/>
    </w:r>
    <w:r w:rsidR="00000000" w:rsidRPr="00000000" w:rsidDel="00000000">
      <w:rPr>
        <w:rtl w:val="0"/>
      </w:rPr>
      <w:t xml:space="preserve">Izdrukāts 29.07.2026. 22.53 - 1.0.VK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26-TA-115</w:t>
    </w:r>
    <w:r>
      <w:br/>
    </w:r>
    <w:r w:rsidR="00000000" w:rsidRPr="00000000" w:rsidDel="00000000">
      <w:rPr>
        <w:rtl w:val="0"/>
      </w:rPr>
      <w:t xml:space="preserve">Izdrukāts 29.07.2026. 22.53 - 1.0.VK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