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biedrībai un nodibinājumam piederošajām ēkām vai inženierbūvēm, kas netiek apliktas ar nekustamā īpašuma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likuma "Par nekustamā īpašuma nodokli" 1. panta otrās daļas 18. punktu un Ministru kabineta 2014. gada 16. decembra noteikumu Nr. 760 "Noteikumi par kritērijiem un kārtību, kādā biedrībai un nodibinājumam piederošās ēkas un inženierbūves netiek apliktas ar nekustamā īpašuma nodokli" 5. punktu apstiprināt šādas: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biedrībām piederošās ēkas, to daļas, telpu grupas un inženierbūves, kas netiek apliktas ar nekustamā īpašuma nodokli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personu ar invaliditāti biedrībām piederošās ēkas, to daļas, telpu grupas un inženierbūves, kas netiek apliktas ar nekustamā īpašuma nodokli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nodibinājumiem piederošās ēkas, to daļas, telpu grupas un inženierbūves, kas netiek apliktas ar nekustamā īpašuma nodokli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05.09.2018. rīkojumu Nr. 410)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22-TA-1934</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22-TA-1934</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rīkojuma_konsolidētā_versija_22-TA-1934.docx</dc:title>
</cp:coreProperties>
</file>

<file path=docProps/custom.xml><?xml version="1.0" encoding="utf-8"?>
<Properties xmlns="http://schemas.openxmlformats.org/officeDocument/2006/custom-properties" xmlns:vt="http://schemas.openxmlformats.org/officeDocument/2006/docPropsVTypes"/>
</file>