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r>
        <w:br/>
      </w:r>
      <w:r w:rsidR="00000000" w:rsidRPr="00000000" w:rsidDel="00000000">
        <w:rPr>
          <w:rStyle w:val="paragraph"/>
          <w:i w:val="1"/>
          <w:rtl w:val="0"/>
        </w:rPr>
        <w:t xml:space="preserve">Eiropas Savienības struktūrfondu un Kohēzijas fonda 2014.–2020. gada plānošanas perioda vadības likuma 20. panta</w:t>
      </w:r>
      <w:r w:rsidR="00000000" w:rsidRPr="00000000" w:rsidDel="00000000">
        <w:rPr>
          <w:rStyle w:val="paragraph"/>
          <w:i w:val="1"/>
          <w:rtl w:val="0"/>
        </w:rPr>
        <w:t xml:space="preserve"> 14. punktu un </w:t>
      </w:r>
      <w:r>
        <w:br/>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16. jūnija noteikumos Nr. 383 "Noteikumi par garantijām saimnieciskās darbības veicējiem konkurētspējas uzlabošanai" (Latvijas Vēstnesis, 2020, 119., 248. nr.; 2022, 121. nr.; 2023, 49.,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Garantijas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Vienam sīkajam (mikro), mazajam un vidējam saimnieciskās darbības veicējam un ar to saistīto personu grupai (atbilstoši Komisijas regulas Nr. 2023/2831 2. panta 2. punkta definīcijai) garantijas summa nepārsniedz: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ja bruto subsīdijas ekvivalents tiek aprēķināts saskaņā ar Komisijas regulas Nr. 2023/2831 4. panta 6. punkta "c" apakšpunktu,  – 5 000 000 </w:t>
      </w:r>
      <w:r w:rsidR="00000000" w:rsidRPr="00000000" w:rsidDel="00000000">
        <w:rPr>
          <w:i w:val="1"/>
          <w:rtl w:val="0"/>
        </w:rPr>
        <w:t xml:space="preserve">euro </w:t>
      </w:r>
      <w:r w:rsidR="00000000" w:rsidRPr="00000000" w:rsidDel="00000000">
        <w:rPr>
          <w:rtl w:val="0"/>
        </w:rPr>
        <w:t xml:space="preserve">vai 7 000 000 </w:t>
      </w:r>
      <w:r w:rsidR="00000000" w:rsidRPr="00000000" w:rsidDel="00000000">
        <w:rPr>
          <w:i w:val="1"/>
          <w:rtl w:val="0"/>
        </w:rPr>
        <w:t xml:space="preserve">euro</w:t>
      </w:r>
      <w:r w:rsidR="00000000" w:rsidRPr="00000000" w:rsidDel="00000000">
        <w:rPr>
          <w:rtl w:val="0"/>
        </w:rPr>
        <w:t xml:space="preserve">, ja garantija tiek sniegta 1.2.2.2. pasākuma ietvaros un garantijas sākotnējais termiņš nepārsniedz 10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ja bruto subsīdijas ekvivalents tiek aprēķināts saskaņā ar Komisijas regulas Nr. 2023/2831 4. panta 6. punkta "b" apakšpunktu, – Komisijas regulas Nr. 2023/2831 4. panta 6. punkta "b" apakšpunktā noteiktās garantijas summas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Iepriekš izsniegtas garantijas termiņu var pagarināt, kopējam garantijas termiņam nepārsniedzot 15 gadus, ja subsīdijas ekvivalents tiek aprēķināts saskaņā ar Komisijas regulas Nr. 2023/2831 4. panta 6. punkta "c" apakšpunktu un ja kredītiestāde ir iesniegusi sabiedrībā "Altum" garantijas pieteikumu termiņa pagarinājumam un saimnieciskās darbības veicēja aizpildītu apliecinājumu kredīta garantijai (sabiedrības "Altum" veidlapa), kā arī sabiedrība "Altum" ir izvērtējusi saimnieciskās darbības veicēja finansiālo stāvokli un nodrošinājuma pietiekamību. Ja tiek pagarināts iepriekš izsniegtas sabiedrības "Altum" garantijas termiņš, sabiedrība "Altum" no jauna izvērtē un pārbauda </w:t>
      </w:r>
      <w:r w:rsidR="00000000" w:rsidRPr="00000000" w:rsidDel="00000000">
        <w:rPr>
          <w:i w:val="1"/>
          <w:rtl w:val="0"/>
        </w:rPr>
        <w:t xml:space="preserve">de minimis</w:t>
      </w:r>
      <w:r w:rsidR="00000000" w:rsidRPr="00000000" w:rsidDel="00000000">
        <w:rPr>
          <w:rtl w:val="0"/>
        </w:rPr>
        <w:t xml:space="preserve"> atbalsta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Lielie saimnieciskās darbības veicēji atbalstu var saņemt, ja garantijas kredīta kvalitāte nav mazāka par šo noteikumu pielikumā minēto kredīta kvalitātes klasi "Maksātspēju varētu mazināt nelabvēlīgi apstākļi" atbilstoši Komisijas regulas Nr. 2023/2831 4. panta 6. punkta "a"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saimnieciskās darbības veicējiem, kuri darbojas Komisijas regulas Nr. 2023/2831 1. panta 1. punkta "a", "b", "c" un "d" apakšpunktā noteiktajās nozarēs vai "e" un "f" apakšpunktā noteiktajās 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16.9.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Subsīdijas ekvivalentu sīkajam (mikro), mazajam un vidējam saimnieciskās darbības veicējam aprēķina kā starpību starp atbilstošās kredīta kvalitātes klases gada drošās zonas prēmijas likmi (pielikums) un piemēroto gada prēmijas likmi naudas izteiksmē vai piemērojot Komisijas regulas Nr. 2023/2831 4. panta 6. punkta "b" apakšpunkta nosacījumus. Ja garantijas ilgums pārsniedz gadu, starpība starp likmēm tiek diskontēta, izmantojot atsauces likmi, kas aprēķināma saskaņā ar Eiropas Komisijas Latvijai apstiprināto atsauces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Subsīdijas ekvivalentu lielajam saimnieciskās darbības veicējam un mazai vidējās kapitalizācijas un vidējās kapitalizācijas sabiedrībai aprēķina, piemērojot Komisijas regulas Nr. 2023/2831 4. panta 6. punkta "b" apakšpunkta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 2023/2831 3. panta 2. punktā noteikto maksimālo </w:t>
      </w:r>
      <w:r w:rsidR="00000000" w:rsidRPr="00000000" w:rsidDel="00000000">
        <w:rPr>
          <w:i w:val="1"/>
          <w:rtl w:val="0"/>
        </w:rPr>
        <w:t xml:space="preserve">de minimis </w:t>
      </w:r>
      <w:r w:rsidR="00000000" w:rsidRPr="00000000" w:rsidDel="00000000">
        <w:rPr>
          <w:rtl w:val="0"/>
        </w:rPr>
        <w:t xml:space="preserve">atbalsta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25.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Sabiedrība "Altum" un atbalsta saņēmējs ievēro Komisijas regulas Nr. 2023/2831 6. panta 3. un 7. 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ir pārkāptas Komisijas regulas Nr. 2023/2831 prasības, atbalsta saņēmējam ir pienākums atmaksāt sabiedrībai "Altum"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Ievērojot Komisijas regulas Nr. 2023/2831 5. pantā minētos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Komisijas regulas Nr. 2023/2831 3. panta 2. punktā noteiktajam robežlielumam, kā arī drīkst apvienot ar citu valsts atbalstu attiecībā uz vienām un tām pašām attiecināmajām izmaksām vai citu valsts atbalstu tam pašam riska finansējuma pasākumam, ja pēc šīs apvienošanas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atbalstu par tām pašām attiecināmajām izmaksām, norādot atbalsta piešķiršanas datumu, atbalsta sniedzēja nosaukumu, atbalsta pasākumu, plānoto vai piešķirto atbalsta summu un atbalsta intensitāti."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Ja saimnieciskās darbības veicējs darbojas šo noteikumu 16.1. apakšpunktā minētajās neatbalstāmajās nozarēs, </w:t>
      </w:r>
      <w:r w:rsidR="00000000" w:rsidRPr="00000000" w:rsidDel="00000000">
        <w:rPr>
          <w:i w:val="1"/>
          <w:rtl w:val="0"/>
        </w:rPr>
        <w:t xml:space="preserve">de minimis</w:t>
      </w:r>
      <w:r w:rsidR="00000000" w:rsidRPr="00000000" w:rsidDel="00000000">
        <w:rPr>
          <w:rtl w:val="0"/>
        </w:rPr>
        <w:t xml:space="preserve"> atbalstu drīkst piešķirt tikai tad, ja atbalsta pretendents nodrošina nozaru darbību vai uzskaites nodalīšanu, lai saskaņā ar Komisijas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2023/2831. Ja saimnieciskās darbības veicējs vienlaikus darbojas vienā vai vairākās nozarēs, kas minētas šo noteikumu 16.2., 16.3., 16.4., 16.5., 16.6., 16.7., 16.10. vai 16.11. apakšpunktā, </w:t>
      </w:r>
      <w:r w:rsidR="00000000" w:rsidRPr="00000000" w:rsidDel="00000000">
        <w:rPr>
          <w:i w:val="1"/>
          <w:rtl w:val="0"/>
        </w:rPr>
        <w:t xml:space="preserve">de minimis</w:t>
      </w:r>
      <w:r w:rsidR="00000000" w:rsidRPr="00000000" w:rsidDel="00000000">
        <w:rPr>
          <w:rtl w:val="0"/>
        </w:rPr>
        <w:t xml:space="preserve"> atbalstu drīkst piešķirt tikai tad, ja saimnieciskās darbības veicējs nodrošina šo nozaru darbību vai uzskaites nodalīšanu."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Lēmumu par </w:t>
      </w:r>
      <w:r w:rsidR="00000000" w:rsidRPr="00000000" w:rsidDel="00000000">
        <w:rPr>
          <w:i w:val="1"/>
          <w:rtl w:val="0"/>
        </w:rPr>
        <w:t xml:space="preserve">de minimis</w:t>
      </w:r>
      <w:r w:rsidR="00000000" w:rsidRPr="00000000" w:rsidDel="00000000">
        <w:rPr>
          <w:rtl w:val="0"/>
        </w:rPr>
        <w:t xml:space="preserve"> atbalsta piešķiršanu atbilstoši šo noteikumu 22. punktam var pieņemt līdz Komisijas regulas Nr. 2023/2831 7. panta 3. punktā un 8. pantā noteiktajam termiņam."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23-TA-3295</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23-TA-3295</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noteikumu_(grozījumu)_projekts_23-TA-3295.docx</dc:title>
</cp:coreProperties>
</file>

<file path=docProps/custom.xml><?xml version="1.0" encoding="utf-8"?>
<Properties xmlns="http://schemas.openxmlformats.org/officeDocument/2006/custom-properties" xmlns:vt="http://schemas.openxmlformats.org/officeDocument/2006/docPropsVTypes"/>
</file>