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jūlijā (prot. Nr. 36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24. maija noteikumos Nr. 411 "Autopārvadājumu kontroles organizēšanas un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rsidR="00000000" w:rsidRPr="00000000" w:rsidDel="00000000">
        <w:rPr>
          <w:rStyle w:val="paragraph"/>
          <w:i w:val="1"/>
          <w:rtl w:val="0"/>
        </w:rPr>
        <w:t xml:space="preserve"> 4. panta ceturto daļu,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trešo daļu</w:t>
      </w:r>
      <w:r>
        <w:br/>
      </w:r>
      <w:r w:rsidR="00000000" w:rsidRPr="00000000" w:rsidDel="00000000">
        <w:rPr>
          <w:rStyle w:val="paragraph"/>
          <w:i w:val="1"/>
          <w:rtl w:val="0"/>
        </w:rPr>
        <w:t xml:space="preserve">un </w:t>
      </w:r>
      <w:r w:rsidR="00000000" w:rsidRPr="00000000" w:rsidDel="00000000">
        <w:rPr>
          <w:rStyle w:val="paragraph"/>
          <w:i w:val="1"/>
          <w:rtl w:val="0"/>
        </w:rPr>
        <w:t xml:space="preserve">Autoceļu lietošanas nodevas likuma</w:t>
      </w:r>
      <w:r w:rsidR="00000000" w:rsidRPr="00000000" w:rsidDel="00000000">
        <w:rPr>
          <w:rStyle w:val="paragraph"/>
          <w:i w:val="1"/>
          <w:rtl w:val="0"/>
        </w:rPr>
        <w:t xml:space="preserve"> 8.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24. maija noteikumos Nr. 411 "Autopārvadājumu kontroles organizēšanas un īstenošanas kārtība" (Latvijas Vēstnesis, 2011, 89., 190. nr.; 2014, 133. nr.; 2017, 56., 128., 248. nr.; 2018, 240. nr.; 2019, 227. nr.; 2022, 121. nr.; 2023, 223.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3.3.1.7.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"3.3.1.7. autoceļu lietošanas nodevas samaksas spēkā esību, izmantojot transportlīdzekļu un to vadītāju valsts reģistrā reģistrētos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3.3.2.5.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"3.3.2.5. Latvijas Republikas starptautisko autopārvadājumu atļaujas esību (divpusējiem pārvadājumiem, tranzīta pārvadājumiem, pārvadājumiem uz trešajām valstīm vai no tām) un tajā norādītā pārvadājuma atbilstību citiem pārvadājuma dokumentiem un atļauto braucienu skaitam. Papīra dokumenta formā esošas atļaujas ailē "muitas iestādes zīmogs un datums" norāda informāciju par robežšķērsošanas vietu un datumu un simbolu "T", ja tiek veikts tranzīta pārvadājums. Elektroniska dokumenta formā esošas atļaujas atbilstību pārvadājuma veidam pārbauda, izmantojot datus transportlīdzekļa vadītāja uzrādītajā mobilajā ierīcē ar ekrānu vai papīra izdrukā. Līdz 2026. gada 31. decembrim kontrolētās atļaujas sēriju un kārtas numuru reģistrē muitas informatīvajā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3.3.2.6.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"3.3.2.6. elektroniska dokumenta formā esošas Eiropas Transporta ministru konferences atļaujas un tai pievienotā elektroniskā reģistrācijas žurnāla esību (transportlīdzekļa vadītājs tos uzrāda mobilajā ierīcē ar ekrānu vai papīra izdrukā) un, izmantojot Starptautiskā Transporta foruma Eiropas Transporta ministru konferences atļauju digitālo sistēmu, reģistrē informāciju par robežas šķērsošanu, norādot iebraukšanas vai izbraukšanas virzienu (robežvalstu abreviatūru) un identificējot konkrēto muitas iestādi;".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Pārbaudes uzņēmuma telpās plāno, ņemot vērā iepriekšējo pieredzi attiecībā uz dažādiem transporta un uzņēmumu veidiem. Ciktāl tas nav saistīts ar esošu vai iespējamu administratīvā pārkāpuma procesu, pārbaudes veic arī tad, ja ir konstatēts, ka nopietni pārkāptas prasības, kas minētas Regulā (EK) 561/2006, Regulā (ES) 165/2014, normatīvajā aktā par transportlīdzekļu apkalpes locekļu darba laika organizēšanu, ievērošanu un uzskaiti, kā arī normatīvajā aktā par ceļu satiksmi attiecībā uz transportlīdzekļu apkalpes locekļu darba laika ilgumu, vai ir konstatēts vissmagākais pārkāpums (MSI) vai vairāki mazāk smagi pārkāpumi (SI, VSI), kuri summāri pielīdzināmi vissmagākajam pārkāpumam saskaņā ar Regulu (ES) 2016/403."</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25-TA-1426</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25-TA-1426</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noteikumu_(grozījumu)_projekts_25-TA-1426.docx</dc:title>
</cp:coreProperties>
</file>

<file path=docProps/custom.xml><?xml version="1.0" encoding="utf-8"?>
<Properties xmlns="http://schemas.openxmlformats.org/officeDocument/2006/custom-properties" xmlns:vt="http://schemas.openxmlformats.org/officeDocument/2006/docPropsVTypes"/>
</file>