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Ekspluatējamu ēku energoefektivitātes minimālās prasības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Ēku energoefektivitātes likuma</w:t>
      </w:r>
      <w:r>
        <w:br/>
      </w:r>
      <w:r w:rsidR="00000000" w:rsidRPr="00000000" w:rsidDel="00000000">
        <w:rPr>
          <w:rStyle w:val="paragraph"/>
          <w:i w:val="1"/>
          <w:rtl w:val="0"/>
        </w:rPr>
        <w:t xml:space="preserve">4.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minimālās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ekspluatējamas ēkas (turpmāk – ēka) enerģijas patēriņa līmenim un primārās enerģijas patēriņa līmenim;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inženiertehnisko sistēmu automatizācijas un vadības sistēmu funkcionalitātei, telpu mikroklimatu pašregulējošu ierīču uzstādīšanai, ēkā patērētā energonesēja vai enerģijas uzskaitei;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elektrotransportlīdzekļu uzlādes punktu ierīkošanai ēkā.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Dzīvojama ēka uzskatāma par atbilstošu enerģijas patēriņa līmeņa un primārās enerģijas patēriņa līmeņa minimālajām prasībām, ja tās energoefektivitātes klases rādītājs saskaņā ar normatīvajiem aktiem ēku energosertifikācijas jomā atbilst E klasei vai augstākai klasei.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Nedzīvojamai ēkai primārās kopējās enerģijas patēriņš nepārsniedz 470 kWh/(m</w:t>
      </w:r>
      <w:r w:rsidR="00000000" w:rsidRPr="00000000" w:rsidDel="00000000">
        <w:rPr>
          <w:vertAlign w:val="superscript"/>
          <w:rtl w:val="0"/>
        </w:rPr>
        <w:t xml:space="preserve">2</w:t>
      </w:r>
      <w:r w:rsidR="00000000" w:rsidRPr="00000000" w:rsidDel="00000000">
        <w:rPr>
          <w:rtl w:val="0"/>
        </w:rPr>
        <w:t xml:space="preserve">/gadā).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atbilstību enerģijas patēriņa līmenim nosaka vienā no šādiem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ēkas energosertifikāciju normatīvajos aktos par ēku energosertifikāciju paredzētajā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vidējo siltumenerģijas patēriņu pēdējos trijos kalendāra gados, ņemot vērā ēkas references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28.01.2025. noteikumiem Nr. 68)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atbilstību primārās enerģijas patēriņa līmenim nosaka vienā no šādiem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ēkas energosertifikāciju normatīvajos aktos par ēku energosertifikāciju paredzētajā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vidējo ēkas energoresursu patēriņu pēdējos trijos kalendāra gados un šo patēriņu reizina ar primārās enerģijas faktoriem katram energonesējam. Primārās enerģijas faktorus nosaka atbilstoši normatīvajiem aktiem par ēkas energoefektivitātes aprēķina metodēm, un vidējo ēkas energoresursu patēriņu attiecina, ņemot vērā ēkas references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28.01.2025. noteikumiem Nr. 68)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Daudzdzīvokļu dzīvojamā mājā un nedzīvojamā ēkā patērēto siltumenerģiju uzskaita atsevišķi katrai dzīvojamo un nedzīvojamo telpu grupai, izmantojot šādus uzskaites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patērētās siltumenerģijas uzskaitē izmanto attālināti nolasāmus individuālus siltumenerģijas patēriņa skaitītājus, ja tas ir tehniski iespējams un ekonomiski pamatoti. Individuālie siltumenerģijas skaitītāji atbilst metroloģiskajām prasībām, kas noteiktas normatīvajos aktos par mērījumu vienotību;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individuālu skaitītāju izmantošana nav tehniski iespējama vai nav ekonomiski pamatota, siltumenerģijas patēriņa mērīšanai izmanto attālināti nolasāmus individuālus siltuma maksas sadalītājus, ar kuriem mēra siltumenerģijas patēriņu katrā radiatorā. Individuālie siltuma maksas sadalītāji atbilst prasībām, kas noteiktas standartā LVS EN 834+AC:2021 "Siltuma maksas sadalītāji dzīvokļa apsildes radiatoriem. Ierīces ar elektroenerģijas avotu";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individuālu siltuma maksas sadalītāju uzstādīšana katram sildelementam nav tehniski iespējama vai nav ekonomiski pamatota, izmanto  attālināti nolasāmu siltumenerģijas patēriņa noteikšanas sistēmu, izmantojot tiešsaistē periodiski fiksētus siltumnesēja caurplūdes un apkures cauruļvadu virsmu temperatūras datus (turpmāk – siltumenerģijas patēriņa noteikšanas sistēma), ja tas ir tehniski iespējams  un ekonomiski pamatoti. Siltumenerģijas patēriņa noteikšanas sistēma atbilst dzīvojamās mājas īpašnieku un normatīvajā aktā par radioiekārtu atbilstības novērtēšanu, piedāvāšanu tirgū, uzstādīšanu, lietošanu un uzraudzību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Daudzdzīvokļu dzīvojamā mājā un nedzīvojamā ēkā uzstāda individuālos skaitītājus, kas mēra mājsaimniecības karstā ūdens patēriņu katrā ēkas vienībā, izņemot gadījumu, ja to uzstādīšana nav tehniski iespējama vai nav ekonomiski pamatota attiecībā pret potenciālo enerģijas ietaupījumu. Šādu individuālo skaitītāju uzstādīšanas tehnisko un ekonomisko pamatojumu izvērtē ēkas pārvaldītājs.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 jauna uzstādītie individuālie skaitītāji, kas mēra mājsaimniecības karstā ūdens patēriņu katrā ēkas vienībā, ir attālināti nolasāmi.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 punkts stājas spēkā 12.10.2025., sk. 15.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Individuālu siltumenerģijas patēriņa skaitītāju daudzdzīvokļu dzīvojamās mājas telpu grupā uzstāda, ja ir tehniski iespējams ar vienu skaitītāju uzskaitīt visā telpu grupā patērēto siltumenerģiju.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Individuālu siltuma maksas sadalītāju, individuālu siltumenerģijas patēriņa skaitītāju un siltumenerģijas patēriņa noteikšanas sistēmas uzstādīšanas ekonomisko pamatojumu izvērtē dzīvojamās mājas pārvaldītājs atbilstoši individuālu siltuma maksas sadalītāju uzstādīšanas ekonomiskā pamatojuma aprēķināšanas metodikai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individuālu siltumenerģijas patēriņa skaitītāju uzstādīšanas ekonomiskā pamatojuma aprēķināšanas metodikai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siltumenerģijas patēriņa noteikšanas sistēmas uzstādīšanas ekonomiskā pamatojuma aprēķināšanas metodikai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Individuālu siltuma maksas sadalītāju, individuālu siltumenerģijas patēriņa skaitītāju vai siltumenerģijas patēriņa noteikšanas sistēmas uzstādīšana ir ekonomiski pamatota, ja, piemērojot Valsts kases tīmekļvietnē publicēto pēdējā pieejamā ceturkšņa attiecīgo diskonta likmi ilgtermiņa ieguldījumu patiesās vērtības noteikšanai saimnieciskās darbības veidam "Nekustamais īpašums (vispārīgi)", neto tagadnes vērtība 10 gadu atmaksāšanās periodam ir pozitīva.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Attālināti nolasāmu individuālu siltuma maksas sadalītāju, attālināti nolasāmu individuālu siltumenerģijas patēriņa skaitītāju un siltumenerģijas patēriņa noteikšanas sistēmas uzstādīšanas tehnisko iespējamību un ekonomisko pamatojumu atkārtoti izvērtē pēc tam, kad daudzdzīvokļu dzīvojamā mājā un nedzīvojamā ēkā, kurā individuāli siltuma maksas sadalītāji, individuāli siltumenerģijas patēriņa skaitītāji vai siltumenerģijas patēriņa noteikšanas sistēma nav uzstādīta, ir veikta apkures sistēmas atjaunošana vai pārbūve.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Nedzīvojamas ēkas aprīko ar pašregulējošām ierīcēm gaisa temperatūras, relatīvā gaisa mitruma un gaisa apmaiņas (cirkulācijas) plūsmas ātruma atsevišķai regulēšanai katrā telpā (vides kvalitātes monitoringa sistēma) vai telpu grupā, ja tiek mainīta ēkas apkures sistēmas daļa, kas ražo siltumenerģiju (siltumģenerators), ja tas ir tehniski piemēroti, ekonomiski un funkcionāli īstenojami.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Nedzīvojamām ēkām, ja tas ir tehniski un ekonomiski īstenojami, nodrošina automātisku apgaismojuma vadības ierīču uzstādīšanu.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Publiskā sektora subjekta ēkās nodrošina piemērotu saules enerģijas iekārtu uzstādīšanu, ja tas ir tehniski piemēroti, ekonomiski un funkcionāli īstenojami.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prasības par saules enerģijas iekārtu uzstādīšanu nepiemēro: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ēkai, kas ir kultūras piemineklis vai kurā atrodas kultūras piemineklis, ēkai, kas atrodas kultūras pieminekļu teritorijā, vai ēkai, kurai pašvaldība noteikusi kultūrvēsturisko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kas atrodas aizsargājamā teritorijā vai kurai noteikti arhitektoniski ierobežojumi, kas nepieļauj saules enerģijas sistēmu uzstādīšanu;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ēkai, kuras faktiskā enerģijas patēriņa cikls būtiski nesakrīt ar saules enerģijas ražošanas laiku, tajā skaitā izglītības iestāžu ēkas, piemēram, skolas, kurās mācību process vasarā, kad saules enerģijas sistēmas darbojas visefektīvāk, nenotiek;</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ēkai, kas paredzēta izmantošanai periodiski, piemēram, tikai atsevišķu pasākumu laikā, vai ar būtiskiem pārtraukumiem;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ēkai, kurai uzstādīšanu būtiski ierobežo pastāvīgs ēnojums vai citi ārējie apstākļi.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Ēkas automatizācijas un vadības sistēma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pastāvīgi uzraudzīt, reģistrēt, analizēt un koriģēt ēkas enerģijas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iespēju salīdzināt un novērtēt ēkas energoefektivitāti, atklāt ēkas inženiertehniskās sistēmas efektivitātes zudumus un informēt ēkas pārvaldītāju par ēkas energoefektivitātes uzlabošanas iespējām;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savietojamību ar ēkas inženiertehniskajām sistēmām, izmantojot atvērtus komunikācijas protokolus un nodrošinot neatkarību no konkrēta iekārtu ražotāja;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iekštelpu vides kvalitātes monitoringu, veicot vismaz gaisa temperatūras, relatīvā mitruma un CO</w:t>
      </w:r>
      <w:r w:rsidR="00000000" w:rsidRPr="00000000" w:rsidDel="00000000">
        <w:rPr>
          <w:vertAlign w:val="subscript"/>
          <w:rtl w:val="0"/>
        </w:rPr>
        <w:t xml:space="preserve">2</w:t>
      </w:r>
      <w:r w:rsidR="00000000" w:rsidRPr="00000000" w:rsidDel="00000000">
        <w:rPr>
          <w:rtl w:val="0"/>
        </w:rPr>
        <w:t xml:space="preserve"> koncentrācijas uzraudzību.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Līdz 2027. gada 1. janvārim nedzīvojamā ēkā ar vairāk nekā 20 autostāvvietām ierīko: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vienu elektrotransportlīdzekļu uzlādes punktu uz 10 autostāvvietām vai ierīko kabeļkanālus vismaz 50 % automašīnu stāvvietu;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velosipēdu stāvvietas, kas veido vismaz 10 % no kopējās lietotāju kapacitātes, paredzot vietu arī lielāka izmēra velosipēdiem nekā standarta velosipēdi.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2033. gada 1. janvārim nedzīvojamā ēkā, kas ir publiskā sektora subjekta valdījumā, ierīko kabeļus vismaz 50 % automašīnu stāvvietu.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 </w:t>
      </w:r>
      <w:r w:rsidR="00000000" w:rsidRPr="00000000" w:rsidDel="00000000">
        <w:rPr>
          <w:rtl w:val="0"/>
        </w:rPr>
        <w:t xml:space="preserve">apakšpunktu</w:t>
      </w:r>
      <w:r w:rsidR="00000000" w:rsidRPr="00000000" w:rsidDel="00000000">
        <w:rPr>
          <w:rtl w:val="0"/>
        </w:rPr>
        <w:t xml:space="preserve"> un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nepiemēro: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autostāvvietām, kuras paredzētas autotransportam, kas ir konstruēts un izgatavots lietošanai galvenokārt būvlaukumos vai karjeros, ostās vai lidostās, kā arī autotransportam, kas ir konstruēts un izgatavots vai pielāgots bruņoto spēku, civilās aizsardzības dienesta, ugunsdzēsības dienesta, sabiedriskās kārtības uzturēšanas dienesta, kā arī neatliekamās medicīniskās palīdzības dienesta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autostāvvietām pie publiskā sektora subjektu ēkām: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kuru tiešā funkcionālā tuvumā (piemēram, viena zemesgabala vai kvartāla ietvaros) atrodas koplietošanas elektrotransportlīdzekļu uzlādes punkts;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kurām funkcionālu vai drošības apsvērumu dēļ nav atļauta vai ir ierobežota automašīnu novietošana.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 </w:t>
      </w:r>
      <w:r w:rsidR="00000000" w:rsidRPr="00000000" w:rsidDel="00000000">
        <w:rPr>
          <w:rtl w:val="0"/>
        </w:rPr>
        <w:t xml:space="preserve">apakšpunktā</w:t>
      </w:r>
      <w:r w:rsidR="00000000" w:rsidRPr="00000000" w:rsidDel="00000000">
        <w:rPr>
          <w:rtl w:val="0"/>
        </w:rPr>
        <w:t xml:space="preserve"> noteiktās prasības par velosipēdu stāvvietu skaitu var koriģēt, ja ir būvspeciālista pamatojums, ko iekļauj būvniecības ieceres dokumentācijā.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 </w:t>
      </w:r>
      <w:r w:rsidR="00000000" w:rsidRPr="00000000" w:rsidDel="00000000">
        <w:rPr>
          <w:rtl w:val="0"/>
        </w:rPr>
        <w:t xml:space="preserve">apakšpunktā</w:t>
      </w:r>
      <w:r w:rsidR="00000000" w:rsidRPr="00000000" w:rsidDel="00000000">
        <w:rPr>
          <w:rtl w:val="0"/>
        </w:rPr>
        <w:t xml:space="preserve"> minēto prasību par velosipēdu stāvvietu ierīkošanu nepiemēro nedzīvojamām ēkām, kurām parasti ar velosipēdu nepiekļūst, piemēram, ēkām: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kurām piekļuve ar velosipēdu ir fiziski ierobežota vai bīstama infrastruktūras trūkuma dēļ, piemēram, ja objekts, tostarp veikals, lielveikals vai birojs, atrodas ārpus apdzīvotām vietām vai pie autoceļiem, kuru sasniegšanai nepieciešams izmantot maģistrāles bez veloinfrastruktūras;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kurās ir noteikts paaugstinātas drošības vai speciāls piekļuves režīms, kas liedz personīgo transportlīdzekļu novietošanu teritorijā, tostarp valsts aizsardzības iestādēs, valsts drošības iestādēs, ieslodzījuma vietās, kritiskās infrastruktūras objektu slēgtajās zonās vai rūpnieciskās ražošanas objektu teritorijās;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ir funkcionāli paredzētas bīstamiem tehnoloģiskiem procesiem, kuru norises vietās drošības apsvērumu dēļ ir aizliegta brīva personu pārvietošanās ar velosipēdu;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kas kalpo kā automatizēti industriālie vai tehniskie punkti bez pastāvīgām darba vietām, kuros uzturēšanās ir epizodiska un saistīta tikai ar iekārtu apkopi vai specifisku kravu pārvadāšanu;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kas tiek izmantotas specifiskiem lauksaimniecības vai mežsaimniecības mērķiem, atrodas ievērojamā attālumā no apdzīvotām vietām un kalpo tikai tehnikas, lopu vai izejvielu uzglabāšanai;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kurās saimnieciskās darbības rakstura dēļ apmeklētāju un klientu piekļuve ar velosipēdu ir praktiski neiespējama vai mazticama, piemēram, tirdzniecības vietās, kurās pārdod lielizmēra preces, ko nav iespējams transportēt ar velosipēdu.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Vietās, kur automašīnu paredzēts novietot uz neilgu laiku, piemēram, vairumtirdzniecības un mazumtirdzniecības pakalpojumu ēkas autostāvvietā, kur parasti to novieto uz laiku līdz divām stundām, šo noteikumu </w:t>
      </w:r>
      <w:r w:rsidR="00000000" w:rsidRPr="00000000" w:rsidDel="00000000">
        <w:rPr>
          <w:rtl w:val="0"/>
        </w:rPr>
        <w:t xml:space="preserve">12.1. </w:t>
      </w:r>
      <w:r w:rsidR="00000000" w:rsidRPr="00000000" w:rsidDel="00000000">
        <w:rPr>
          <w:rtl w:val="0"/>
        </w:rPr>
        <w:t xml:space="preserve">apakšpunktā</w:t>
      </w:r>
      <w:r w:rsidR="00000000" w:rsidRPr="00000000" w:rsidDel="00000000">
        <w:rPr>
          <w:rtl w:val="0"/>
        </w:rPr>
        <w:t xml:space="preserve"> minēto uzlādes punktu skaitu var samazināt, uzstādot vienu vai vairākus lieljaudas uzlādes punktus un vienlaikus nodrošinot, ka attiecīgajā vietā visu uzlādes punktu jaudu summa sakrīt vai pārsniedz jaudu, kādu nodrošinātu šo noteikumu </w:t>
      </w:r>
      <w:r w:rsidR="00000000" w:rsidRPr="00000000" w:rsidDel="00000000">
        <w:rPr>
          <w:rtl w:val="0"/>
        </w:rPr>
        <w:t xml:space="preserve">12.1. </w:t>
      </w:r>
      <w:r w:rsidR="00000000" w:rsidRPr="00000000" w:rsidDel="00000000">
        <w:rPr>
          <w:rtl w:val="0"/>
        </w:rPr>
        <w:t xml:space="preserve">apakšpunktā</w:t>
      </w:r>
      <w:r w:rsidR="00000000" w:rsidRPr="00000000" w:rsidDel="00000000">
        <w:rPr>
          <w:rtl w:val="0"/>
        </w:rPr>
        <w:t xml:space="preserve"> minētais uzlādes punktu skaits, pieņemot, ka katra uzlādes punkta jauda būtu 11 kW. Minētais princips piemērojams tik tālu, cik tas nodrošina autostāvvietas lietotāju vajadzības par nepieciešamo uzlādes punktu skaitu.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pastāv kopējā tīkla ierobežojumi vai ir grūti prognozēt ierīkojamo kabeļu saistītās tālākās faktiskās vajadzības, tad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kabeļus pieļaujams aizstāt ar kabeļkanāliem ar ievilcējvadu un kabeļrenēm iekštelpu autostāvvietās un zonās bez cietā seguma.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5., 6., 7., 8., 9., 10. un 11. punkts stājas spēkā 2021. gada 1. 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Individuālajiem siltuma maksas sadalītājiem un individuālajiem siltumenerģijas patēriņa skaitītājiem, kas uzstādīti pirms 2021. gada 1. janvāra un nav attālināti nolasāmi, līdz 2027. gada 1. janvārim nodrošina attālinātu nolasāmību vai tos aizstāj ar attālināti nolasāmiem individuāliem siltuma maksas sadalītājiem, individuāliem siltumenerģijas patēriņa skaitītājiem vai siltumenerģijas patēriņa noteikšanas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punkts</w:t>
      </w:r>
      <w:r w:rsidR="00000000" w:rsidRPr="00000000" w:rsidDel="00000000">
        <w:rPr>
          <w:rtl w:val="0"/>
        </w:rPr>
        <w:t xml:space="preserve"> stājas spēkā 2025. gada 12.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Individuāliem skaitītājiem, kas mēra mājsaimniecības karstā ūdens patēriņu katrā ēkas vienībā, kas ir uzstādīti pirms 2025. gada 12. oktobra un nav attālināti nolasāmi, līdz 2027. gada 1. janvārim nodrošina attālinātu nolasāmību vai tos aizstāj ar attālināti nolasāmiem, ja tas ir ekonomiski pamatoti.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piemēro no 2033. gada 1. janvāra. Laikposmā no 2030. gada 1. janvāra līdz 2032. gada 31. decembrim nedzīvojamai ēkai primārās kopējās enerģijas patēriņš nepārsniedz 550 kWh/(m</w:t>
      </w:r>
      <w:r w:rsidR="00000000" w:rsidRPr="00000000" w:rsidDel="00000000">
        <w:rPr>
          <w:vertAlign w:val="superscript"/>
          <w:rtl w:val="0"/>
        </w:rPr>
        <w:t xml:space="preserve">2</w:t>
      </w:r>
      <w:r w:rsidR="00000000" w:rsidRPr="00000000" w:rsidDel="00000000">
        <w:rPr>
          <w:rtl w:val="0"/>
        </w:rPr>
        <w:t xml:space="preserve">/gadā).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2027. gada 31. decembra – ēkām, kuru apkures sistēmas, gaisa kondicionēšanas sistēmas, kombinētās telpu apkures un ventilācijas sistēmas vai kombinētās gaisa kondicionēšanas un ventilācijas sistēmas lietderīgā nominālā jauda pārsniedz 290 kilovatus;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2029. gada 31. decembra – ēkām, kuru apkures sistēmas, gaisa kondicionēšanas sistēmas, kombinētās telpu apkures un ventilācijas sistēmas vai kombinētās gaisa kondicionēšanas un ventilācijas sistēmas lietderīgā nominālā jauda pārsniedz 70 kilovatus.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prasību izpilda: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2027. gada 31. decembrim – ēkās, kuru kopējā platība pārsniedz 2000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2028. gada 31. decembrim – ēkās, kuru kopējā platība pārsniedz 750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2030. gada 31. decembrim – ēkās, kuru kopējā platība pārsniedz 250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12. punktu piemēro no 2029. gada 1. janvāra attiecībā uz nedzīvojamām ēkām, kas ir atjaunotas no 2022. gada 28. maija līdz 2024. gada 28. maijam.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28.01.2025. noteikumiem Nr. 68)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2010. gada 19. maija Direktīvas </w:t>
      </w:r>
      <w:r w:rsidR="00000000" w:rsidRPr="00000000" w:rsidDel="00000000">
        <w:rPr>
          <w:rtl w:val="0"/>
        </w:rPr>
        <w:t xml:space="preserve">2010/31/ES</w:t>
      </w:r>
      <w:r w:rsidR="00000000" w:rsidRPr="00000000" w:rsidDel="00000000">
        <w:rPr>
          <w:rtl w:val="0"/>
        </w:rPr>
        <w:t xml:space="preserve"> par ēku energoefektivitāti;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2012. gada 25. oktobra Direktīvas </w:t>
      </w:r>
      <w:r w:rsidR="00000000" w:rsidRPr="00000000" w:rsidDel="00000000">
        <w:rPr>
          <w:rtl w:val="0"/>
        </w:rPr>
        <w:t xml:space="preserve">2012/27/ES</w:t>
      </w:r>
      <w:r w:rsidR="00000000" w:rsidRPr="00000000" w:rsidDel="00000000">
        <w:rPr>
          <w:rtl w:val="0"/>
        </w:rPr>
        <w:t xml:space="preserve"> par energoefektivitāti, ar ko groza Direktīvas </w:t>
      </w:r>
      <w:r w:rsidR="00000000" w:rsidRPr="00000000" w:rsidDel="00000000">
        <w:rPr>
          <w:rtl w:val="0"/>
        </w:rPr>
        <w:t xml:space="preserve">2009/125/EK</w:t>
      </w:r>
      <w:r w:rsidR="00000000" w:rsidRPr="00000000" w:rsidDel="00000000">
        <w:rPr>
          <w:rtl w:val="0"/>
        </w:rPr>
        <w:t xml:space="preserve"> un </w:t>
      </w:r>
      <w:r w:rsidR="00000000" w:rsidRPr="00000000" w:rsidDel="00000000">
        <w:rPr>
          <w:rtl w:val="0"/>
        </w:rPr>
        <w:t xml:space="preserve">2010/30/ES</w:t>
      </w:r>
      <w:r w:rsidR="00000000" w:rsidRPr="00000000" w:rsidDel="00000000">
        <w:rPr>
          <w:rtl w:val="0"/>
        </w:rPr>
        <w:t xml:space="preserve"> un atceļ Direktīvas </w:t>
      </w:r>
      <w:r w:rsidR="00000000" w:rsidRPr="00000000" w:rsidDel="00000000">
        <w:rPr>
          <w:rtl w:val="0"/>
        </w:rPr>
        <w:t xml:space="preserve">2004/8/EK</w:t>
      </w:r>
      <w:r w:rsidR="00000000" w:rsidRPr="00000000" w:rsidDel="00000000">
        <w:rPr>
          <w:rtl w:val="0"/>
        </w:rPr>
        <w:t xml:space="preserve"> un </w:t>
      </w:r>
      <w:r w:rsidR="00000000" w:rsidRPr="00000000" w:rsidDel="00000000">
        <w:rPr>
          <w:rtl w:val="0"/>
        </w:rPr>
        <w:t xml:space="preserve">2006/32/EK</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2018. gada 30. maija Direktīvas (ES) </w:t>
      </w:r>
      <w:r w:rsidR="00000000" w:rsidRPr="00000000" w:rsidDel="00000000">
        <w:rPr>
          <w:rtl w:val="0"/>
        </w:rPr>
        <w:t xml:space="preserve">2018/844</w:t>
      </w:r>
      <w:r w:rsidR="00000000" w:rsidRPr="00000000" w:rsidDel="00000000">
        <w:rPr>
          <w:rtl w:val="0"/>
        </w:rPr>
        <w:t xml:space="preserve">, ar ko groza Direktīvu </w:t>
      </w:r>
      <w:r w:rsidR="00000000" w:rsidRPr="00000000" w:rsidDel="00000000">
        <w:rPr>
          <w:rtl w:val="0"/>
        </w:rPr>
        <w:t xml:space="preserve">2010/31/ES</w:t>
      </w:r>
      <w:r w:rsidR="00000000" w:rsidRPr="00000000" w:rsidDel="00000000">
        <w:rPr>
          <w:rtl w:val="0"/>
        </w:rPr>
        <w:t xml:space="preserve"> par ēku energoefektivitāti un Direktīvu </w:t>
      </w:r>
      <w:r w:rsidR="00000000" w:rsidRPr="00000000" w:rsidDel="00000000">
        <w:rPr>
          <w:rtl w:val="0"/>
        </w:rPr>
        <w:t xml:space="preserve">2012/27/ES</w:t>
      </w:r>
      <w:r w:rsidR="00000000" w:rsidRPr="00000000" w:rsidDel="00000000">
        <w:rPr>
          <w:rtl w:val="0"/>
        </w:rPr>
        <w:t xml:space="preserve"> par energoefektivitāti;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2018. gada 11. decembra Direktīvas (ES) </w:t>
      </w:r>
      <w:r w:rsidR="00000000" w:rsidRPr="00000000" w:rsidDel="00000000">
        <w:rPr>
          <w:rtl w:val="0"/>
        </w:rPr>
        <w:t xml:space="preserve">2018/2002</w:t>
      </w:r>
      <w:r w:rsidR="00000000" w:rsidRPr="00000000" w:rsidDel="00000000">
        <w:rPr>
          <w:rtl w:val="0"/>
        </w:rPr>
        <w:t xml:space="preserve">, ar ko groza Direktīvu </w:t>
      </w:r>
      <w:r w:rsidR="00000000" w:rsidRPr="00000000" w:rsidDel="00000000">
        <w:rPr>
          <w:rtl w:val="0"/>
        </w:rPr>
        <w:t xml:space="preserve">2012/27/ES</w:t>
      </w:r>
      <w:r w:rsidR="00000000" w:rsidRPr="00000000" w:rsidDel="00000000">
        <w:rPr>
          <w:rtl w:val="0"/>
        </w:rPr>
        <w:t xml:space="preserve"> par energoefektivitāti;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2023. gada 13. septembra Direktīvas (ES) </w:t>
      </w:r>
      <w:r w:rsidR="00000000" w:rsidRPr="00000000" w:rsidDel="00000000">
        <w:rPr>
          <w:rtl w:val="0"/>
        </w:rPr>
        <w:t xml:space="preserve">2023/1791</w:t>
      </w:r>
      <w:r w:rsidR="00000000" w:rsidRPr="00000000" w:rsidDel="00000000">
        <w:rPr>
          <w:rtl w:val="0"/>
        </w:rPr>
        <w:t xml:space="preserve"> par energoefektivitāti un ar ko groza Regulu (ES) 2023/955 (pārstrādātā redakcija).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2024. gada 24. aprīļa Direktīvas (ES) 2024/1275 par ēku energosniegumu (pārstrādāta redakcija).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26-TA-329</w:t>
    </w:r>
    <w:r>
      <w:br/>
    </w:r>
    <w:r w:rsidR="00000000" w:rsidRPr="00000000" w:rsidDel="00000000">
      <w:rPr>
        <w:rtl w:val="0"/>
      </w:rPr>
      <w:t xml:space="preserve">Izdrukāts 25.08.2026. 12.57 - 1.0.VK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26-TA-329</w:t>
    </w:r>
    <w:r>
      <w:br/>
    </w:r>
    <w:r w:rsidR="00000000" w:rsidRPr="00000000" w:rsidDel="00000000">
      <w:rPr>
        <w:rtl w:val="0"/>
      </w:rPr>
      <w:t xml:space="preserve">Izdrukāts 25.08.2026. 12.57 - 1.0.VK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noteikumu_konsolidētā_versija_26-TA-329.docx</dc:title>
</cp:coreProperties>
</file>

<file path=docProps/custom.xml><?xml version="1.0" encoding="utf-8"?>
<Properties xmlns="http://schemas.openxmlformats.org/officeDocument/2006/custom-properties" xmlns:vt="http://schemas.openxmlformats.org/officeDocument/2006/docPropsVTypes"/>
</file>