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6. februārī (prot. Nr. 6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2.2.3. specifiskā atbalsta mērķa "Uzlabot dabas aizsardzību un bioloģisko daudzveidību, "zaļo" infrastruktūru, it īpaši pilsētvidē, un samazināt piesārņojumu" 2.2.3.7. pasākuma "Gaisa piesārņojošo vielu emisiju samazināšana pašvaldību siltumapgādē"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2.2.3. specifiskā atbalsta mērķa "Uzlabot dabas aizsardzību un bioloģisko daudzveidību, "zaļo" infrastruktūru, it īpaši pilsētvidē, un samazināt piesārņojumu" 2.2.3.7. pasākumu "Gaisa piesārņojošo vielu emisiju samazināšana pašvaldību siltumapgādē"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komercdarbības atbalsta piešķiršanas nosacījumus.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Sasniedzamie mērķi un plānotais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samazināt gaisa piesārņojuma radīto negatīvo ietekmi uz vidi un cilvēku veselību, uzlabojot sabiedrisko pakalpojumu sniedzēju centralizētajā siltumapgādē izmantoto sadedzināšanas iekārtu darbību, ieviešot tehniskos risinājumus, kas samazina putekļu (daļiņu) emisijas gaisā.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valstspilsētu un novadu pilsētu iedzīvotāji un sabiedriskā siltumapgādes pakalpojuma sniedzēji.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mērķteritorija ir Latvijas Republikas valstspilsētu un novadu pilsētu teritorijas.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Sasniedzamie rezultāta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2027. gada 31. decembrim iedzīvotāju skaits, kas gūst labumu no gaisa kvalitātes pasākumiem, – vismaz 76 552 iedzīvotāji;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2027. gada 31. decembrim nodrošināts nacionālais rādītājs putekļu daļiņu emisiju ietaupījumam gadā.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minēto rezultāta rādītāja vērtību nosaka atbilstoši Centrālās statistikas pārvaldes pēdējiem līdz projekta iesniegšanas dienai publicētajiem datiem par valstspilsētā vai novada pilsētā reģistrēto iedzīvotāju blīvumu (iedzīvotāju skaits/kvadrātkilometrs), reizinot to ar 6,28 kvadrātkilometriem, vai, ja tas var precīzāk atainot investīciju īstenošanas rezultātā ietekmēto iedzīvotāju skaitu, atbilstoši konkrētās valstspilsētas vai novada pilsētas deklarēto iedzīvotāju skaitam 2 kilometru rādiusā ap sadedzināšanas iekārtu, par ko sadarbības iestāde pārliecinās, izmantojot Pilsonības un migrāciju lietu pārvaldes datus. Vērtību uzskata par sasniegtu līdz pēcuzraudzības perioda pirmā gada 31. decembrim, aprēķinos izmantojot tā brīža pēdējos pieejamos datus un demogrāfisko rādītāju ietekmi uz vērtības izmaiņām. Projekta iesniedzēja iesniegto projektu ietvaros rezultāta rādītāja vērtība valstspilsētā un novada pilsētā nedrīkst pārsniegt konkrētās valstspilsētas vai novada pilsētas iedzīvotāju skaitu.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Vides aizsardzības un reģionālās attīstības ministrija (turpmāk – atbildīgā iestāde).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Pasākumu īsteno atklātas projektu iesniegumu atlases veidā atbilstoši projektu iesniegumu atlases nolikumam.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pieejamais finansējums ir 5 644 346 </w:t>
      </w:r>
      <w:r w:rsidR="00000000" w:rsidRPr="00000000" w:rsidDel="00000000">
        <w:rPr>
          <w:i w:val="1"/>
          <w:rtl w:val="0"/>
        </w:rPr>
        <w:t xml:space="preserve">euro</w:t>
      </w:r>
      <w:r w:rsidR="00000000" w:rsidRPr="00000000" w:rsidDel="00000000">
        <w:rPr>
          <w:rtl w:val="0"/>
        </w:rPr>
        <w:t xml:space="preserve">, tai skaitā Eiropas Reģionālās attīstības fonda finansējums – 2 822 173 </w:t>
      </w:r>
      <w:r w:rsidR="00000000" w:rsidRPr="00000000" w:rsidDel="00000000">
        <w:rPr>
          <w:i w:val="1"/>
          <w:rtl w:val="0"/>
        </w:rPr>
        <w:t xml:space="preserve">euro </w:t>
      </w:r>
      <w:r w:rsidR="00000000" w:rsidRPr="00000000" w:rsidDel="00000000">
        <w:rPr>
          <w:rtl w:val="0"/>
        </w:rPr>
        <w:t xml:space="preserve">un privātais līdzfinansējums – vismaz 2 822 173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atlases ietvaros pieejamais Eiropas Reģionālās attīstības fonda finansējums netiek izmantots, atlikušo Eiropas Reģionālās attīstības fonda finansējumu, sadarbības iestādei vienojoties ar atbildīgo iestādi par atlases nosacījumiem, novirza nākamo atlašu organizēšanai.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Finansējumu pasākuma ietvaros izmaksā granta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Eiropas Reģionālās attīstības fonda finansējums pasākuma ietvaros nepārsniedz 50 procentus no kopējām attiecināmajām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Eiropas Reģionālās attīstības fonda finansējuma apmērs projektā nepārsniedz 36 </w:t>
      </w:r>
      <w:r w:rsidR="00000000" w:rsidRPr="00000000" w:rsidDel="00000000">
        <w:rPr>
          <w:i w:val="1"/>
          <w:rtl w:val="0"/>
        </w:rPr>
        <w:t xml:space="preserve">euro </w:t>
      </w:r>
      <w:r w:rsidR="00000000" w:rsidRPr="00000000" w:rsidDel="00000000">
        <w:rPr>
          <w:rtl w:val="0"/>
        </w:rPr>
        <w:t xml:space="preserve">uz vienu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minēto rezultāta rādītāja vienību.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pasākuma ietvaros, kas pēc projekta iesnieguma apstiprināšanas kļūst par finansējuma saņēmēju, ir sabiedrisko pakalpojumu sniedzējs centralizētās siltumapgādes nozarē – kapitālsabiedrība, kurai ar pašvaldību noslēgts pakalpojumu līgums par siltumenerģijas apgādes pakalpojumu (kas ietver arī siltuma ražošanu) 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Līgumā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pakalpojumus siltumapgādes nozarē;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prasību sabiedrisko siltumapgādes pakalpojumu sniedzējam uzturēt un atjaunot nepieciešamo tehnisko aprīkojumu, lai varētu sniegt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minētos pakalpojumus atbilstoši katram konkrētajam pakalpojumam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sabiedrisko siltumapgādes pakalpojumu sniegšanas periodu, kas nav mazāks par pieciem gadiem un nepārsniedz 10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siltumapgādes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siltumapgādes pakalpojumu sniedzējam piešķirtās ekskluzīvās vai īpašās tiesības būtību, tai skaitā norāda atbilstošo pašvaldības administratīvo teritoriju vai pašvaldības administratīvās teritorijas daļu un konkrētos sniedzamos siltumapgādes sabiedriskos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jeb kompensācijas maksājumus – investīcijas sabiedrisko siltumapgādes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Komercdarbības atbalstu sabiedriskajiem centralizētās siltumapgādes pakalpojumu sniedzējiem piešķir kā kompensāciju par sabiedriskajiem pakalpojumiem dažiem uzņēmumiem, kuriem uzticēts sniegt pakalpojumus ar vispārēju tautsaimniecisku nozīmi.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nevar būt tāds saimnieciskās darbības veicējs, uz kuru attiecas vismaz viena no Komisijas 2014. gada 17. jūnija Regulas Nr. 651/2014, ar ko noteiktas atbalsta kategorijas atzīst par saderīgām ar iekšējo tirgu, piemērojot Līguma 107. un 108. pantu, 2. panta 18. punktā paredzētajām pazīmēm.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iesniedz sadarbības iestādē vispārējas tautsaimnieciskas nozīmes pakalpojuma pilnvarojuma uzlicēja apliecinājumu par atlīdzības (kompensācijas) maksājumu kontroli un pārskatīšanu, kā arī minēto maksājumu pārmaksas novēršanu un atgūšanu, ievērojot Eiropas Savienības līmenī noteikto pārbaužu regularitāti, bet ne retāk kā reizi trijos gados un pilnvarojuma akta (līguma) darbības perioda beigās.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Komercdarbības atbalsta saņēmējs un vispārējas tautsaimnieciskas nozīmes pakalpojuma pilnvarojuma uzlicējs nodrošina, ka pilnvarojuma periodā un vismaz 10 gadus pēc pilnvarojuma perioda beigām tiek saglabāta un nodrošināta pieeja projekta izmaksas pamatojošiem dokumentiem, visai ar projektu saistītajai dokumentācijai un visai nepieciešamajai informācijai, lai noteiktu, vai piešķirtais atbalsts atbilst komercdarbības atbalsta piešķiršanas nosacījumiem vispārējas tautsaimniecības nozīmes pakalpojumu sniegšanai. Sadarbības iestāde ar komercdarbības atbalsta piešķiršanu saistīto informāciju glabā un nodrošina tās pieejamību 10 gadus, skaitot no pēdējās komercdarbības atbalsta piešķiršanas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iesniegumu pasākuma ietvaros var iesniegt par esošu vidējas jaudas sadedzināšanas (tai skaitā koģenerācijas) iekārtu, kas atbilst normatīvajiem aktiem par sadedzināšanas iekārtu radītā gaisa piesārņojuma ierobežošanu.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par vienu sadedzināšanas iekārtu iesniedz vienu projekta iesniegumu.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Viens projekta iesniedzējs pasākuma ietvaros ir tiesīgs iesniegt neierobežotu projektu iesniegumu skaitu.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iesniedzējam ir īpašuma tiesības vai apbūves tiesība uz nekustamo īpašumu, tai skaitā zemi un infrastruktūru, kurā tiks veiktas projektā paredzētās darbības, vismaz uz pieciem gadiem pēc noslēguma maksājuma veikšanas. Pieļaujams, ka nekustamā īpašuma, tai skaitā zemes, īpašuma tiesības un apbūves tiesību nostiprina zemesgrāmatā līdz pirmā maksājuma pieprasījuma iesniegšanai sadarbības iestādē.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sagatavo un iesniedz projekta iesniegumu elektroniski, izmantojot Kohēzijas politikas fondu vadības informācijas sistēmu, saskaņā ar projektu iesniegumu atlases nolikuma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iesniedzējs projekta iesniegumam pievieno izmaksu un ieguvumu analīzi.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izpilda nepieciešamās prasības, lai tiktu ievēroti horizontālie principi "Nenodarīt būtisku kaitējumu" un "Klimatdrošināšana" un Eiropas Savienības un Latvijas Republikas normatīvie akti vides aizsardzības jomā,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apliecinājumu, ka būvdarbu veicējiem vai pakalpojumu sniedzējiem tiks noteikts pienākums: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radītos elektronisko iekārtu atkritumus un citus atkritumus apsaimniekot atbilstoši normatīvajiem aktiem atkritumu apsaimniekošanas jomā – nodrošināt to savākšanu, atkalizmantošanu, sagatavošanu pārstrādei un reģenerācijai vai pārstrādāt vai reģenerēt sadarbībā ar komersantu, kas saņēmis atļauju piesārņojošās darbības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azbestu saturošos materiālus apstrādāt un transportēt atbilstoši normatīvajiem aktiem par darba aizsardzības prasībām darbā ar azbestu un azbesta atkritumu apsaimniekošanu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nodrošina atbilstību tādiem aspektiem kā klimata pārmaiņu mazināšana un pielāgošanās klimata pārmaiņām,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paredzētās iekārtas uzstāda sadedzināšanas iekārtām, kurās neizmanto fosilos energoresursus;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pēcuzraudzības periodā par kurināmo izmantos mazvērtīgu biomasas kurināmo.</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Atbalstāmās darbības un izmaksu attiecināmības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Projektu īsteno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minētajai sadedzināšanas iekārtai, kas atbilst šādiem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siltumenerģijas ražošanai tiek izmantota biomasa atbilstoši normatīvajiem aktiem par sadedzināšanas iekārtu radītā gaisa piesārņojuma ierobežošanu;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sadedzināšanas iekārtā saražotā siltumenerģija (izņemot pašpatēriņu un tehnoloģisko procesu nodrošināšanai nepieciešamo siltumenerģiju) tiek nodota Sabiedrisko pakalpojumu regulēšanas komisijā licencētam siltumapgādes pārvades vai sadales komersantam vai pašvaldībai, vai pašvaldības iestādei, kas sniedz centralizētās siltumapgādes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pēdējos trīs pilnos kalendāra gados pirms projekta iesnieguma iesniegšanas nav pārsniegti pieļaujamie gaisu piesārņojošo vielu emisiju robežlielumi;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sadedzināšanas iekārta darbojas efektīvā centralizētās siltumapgādes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Projektā iekļauj šādas atbalstāmās darbības, sekmējot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minētā uzraudzības rādītāja sasniegšanu – esošas vidējas jaudas sadedzināšanas iekārtas kā centralizētās siltumapgādes ražošanas avota pārbūve vai rekonstrukcija, kuras ietvaros paredzēts: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izveidot un aprīkot sadedzināšanas iekārtu ar putekļu (daļiņu) emisiju attīrīšanas tehnoloģiskajiem risinājumiem, lai nodrošinātu atbilstību normatīvajos aktos par gaisa piesārņojuma ierobežošanu no sadedzināšanas iekārtām pēc 2025. gada 1. janvāra noteiktajām putekļu (daļiņu) emisijas robežvērtībām;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atjaunot vai pārbūvēt esošās putekļu (daļiņu) emisiju attīrīšanas iekārtas, lai nodrošinātu atbilstību normatīvajos aktos par gaisa piesārņojuma ierobežošanu no sadedzināšanas iekārtām pēc 2025. gada 1. janvāra noteiktajām putekļu (daļiņu) emisijas robežvērtībām.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attiecināmās izmaksas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iekārtu, mehānismu un tehnoloģisko risinājumu (vai to kombināciju) izmaksas putekļu emisiju attīrīšanai dūmgāzēs, kas nodrošina vismaz 90 % iekārtu efektivitāti putekļu attīrīšanai;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tehnoloģisko iekārtu demontāžas izmaksas, ēku un būvju nojaukšanas izmaksas, ja tās tiešā veidā saistītas ar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 iekārtu uzstādīšanu, nepārsniedzot 10 % no šo noteikumu </w:t>
      </w:r>
      <w:r w:rsidR="00000000" w:rsidRPr="00000000" w:rsidDel="00000000">
        <w:rPr>
          <w:rtl w:val="0"/>
        </w:rPr>
        <w:t xml:space="preserve">29.1. </w:t>
      </w:r>
      <w:r w:rsidR="00000000" w:rsidRPr="00000000" w:rsidDel="00000000">
        <w:rPr>
          <w:rtl w:val="0"/>
        </w:rPr>
        <w:t xml:space="preserve">apakšpunktā</w:t>
      </w:r>
      <w:r w:rsidR="00000000" w:rsidRPr="00000000" w:rsidDel="00000000">
        <w:rPr>
          <w:rtl w:val="0"/>
        </w:rPr>
        <w:t xml:space="preserve"> minēto iekārtu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putekļu (daļiņu) emisiju attīrīšanai nepieciešamo tehnoloģisko risinājumu būvprojekta (tai skaitā ar būvniecības ieceri un ar būvprojektu minimālā sastāvā saistīto sagatavošanas darbu) sagatavošanas izmaksas, kā arī būvprojekta ekspertīzes izmaksas, autoruzraudzības un būvuzraudzības (tai skaitā inženiertehniskās uzraudzības) izmaksas, ja ekspertīzes vai uzraudzības veikšanu nosaka normatīvie akti būvniecības vai energoefektivitātes jomā. Projektēšanas, autoruzraudzības un būvuzraudzības (tai skaitā inženiertehniskās uzraudzības) izmaksas ir attiecināmas, ja tās kopā nepārsniedz 10 % no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projekta darbībām tieši saistīto publicitātes (komunikācijas un vizuālās identitātes) pasākumu izmaksas, kas nepārsniedz 1 %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īstenošanas izmaksas, lai nodrošinātu šo noteikumu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minētās darbības – zīmju valodas tulku, vieglās valodas tulkošanas, reāllaika transkripcijas un subtitru nodrošināšanas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rezerve, kas nepārsniedz 10 % no 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un </w:t>
      </w:r>
      <w:r w:rsidR="00000000" w:rsidRPr="00000000" w:rsidDel="00000000">
        <w:rPr>
          <w:rtl w:val="0"/>
        </w:rPr>
        <w:t xml:space="preserve">29.3. </w:t>
      </w:r>
      <w:r w:rsidR="00000000" w:rsidRPr="00000000" w:rsidDel="00000000">
        <w:rPr>
          <w:rtl w:val="0"/>
        </w:rPr>
        <w:t xml:space="preserve">apakšpunktā</w:t>
      </w:r>
      <w:r w:rsidR="00000000" w:rsidRPr="00000000" w:rsidDel="00000000">
        <w:rPr>
          <w:rtl w:val="0"/>
        </w:rPr>
        <w:t xml:space="preserve"> norādīto būvniecības izmaksu kopsummas;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pievienotās vērtības nodokļa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apakšpunktu, ja tās nav atgūstamas nodokļu politiku reglamentējošos normatīvajos aktos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izmaksas ir attiecināmas no 2023. gada 1. augusta, izņemot projektu pamatojošās dokumentācijas sagatavošanas izmaksas, kas ir attiecināmas, ja tās veiktas pēc 2021. gada 14. janvāra.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izmaksas ir attiecināmas, ja 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šo noteikumu </w:t>
      </w:r>
      <w:r w:rsidR="00000000" w:rsidRPr="00000000" w:rsidDel="00000000">
        <w:rPr>
          <w:rtl w:val="0"/>
        </w:rPr>
        <w:t xml:space="preserve">29. </w:t>
      </w:r>
      <w:r w:rsidR="00000000" w:rsidRPr="00000000" w:rsidDel="00000000">
        <w:rPr>
          <w:rtl w:val="0"/>
        </w:rPr>
        <w:t xml:space="preserve">punktam</w:t>
      </w:r>
      <w:r w:rsidR="00000000" w:rsidRPr="00000000" w:rsidDel="00000000">
        <w:rPr>
          <w:rtl w:val="0"/>
        </w:rPr>
        <w:t xml:space="preserve"> un tiek iekļautas finansējuma saņēmēja aktīvos kā amortizējamie ilgtermiņa ieguldījumi (izņemot šo noteikumu </w:t>
      </w:r>
      <w:r w:rsidR="00000000" w:rsidRPr="00000000" w:rsidDel="00000000">
        <w:rPr>
          <w:rtl w:val="0"/>
        </w:rPr>
        <w:t xml:space="preserve">29.4.</w:t>
      </w:r>
      <w:r w:rsidR="00000000" w:rsidRPr="00000000" w:rsidDel="00000000">
        <w:rPr>
          <w:rtl w:val="0"/>
        </w:rPr>
        <w:t xml:space="preserve"> un </w:t>
      </w:r>
      <w:r w:rsidR="00000000" w:rsidRPr="00000000" w:rsidDel="00000000">
        <w:rPr>
          <w:rtl w:val="0"/>
        </w:rPr>
        <w:t xml:space="preserve">29.5. </w:t>
      </w:r>
      <w:r w:rsidR="00000000" w:rsidRPr="00000000" w:rsidDel="00000000">
        <w:rPr>
          <w:rtl w:val="0"/>
        </w:rPr>
        <w:t xml:space="preserve">apakšpunktā</w:t>
      </w:r>
      <w:r w:rsidR="00000000" w:rsidRPr="00000000" w:rsidDel="00000000">
        <w:rPr>
          <w:rtl w:val="0"/>
        </w:rPr>
        <w:t xml:space="preserve"> paredzētās attiecināmās izmaksas),  kuri paliek attiecīgajā reģionā un kurus nenodod lietošanā trešajām personām vismaz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tieši saistītas ar projekta ietvaros veiktajām darbībām un tiek izmantotas tikai finansējuma saņēmēja vajadzībām;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samērīgas un pamatotas, kā arī atbilst vidējām tirgus cenām;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radušās pēc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noteiktā termiņa;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nav radušās uz darba līguma pamata.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ietvaros plāno tikai attiecināmās izmaksas. Izmaksas, kas saskaņā ar šiem noteikumiem nav iekļaujamas projektā kā attiecināmās izmaksas, ir finansējamas ārpus projekta par finansējuma saņēmēja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Komercdarbības atbalstu, kas piešķirts šo noteikumu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nedrīkst kumulēt ar </w:t>
      </w:r>
      <w:r w:rsidR="00000000" w:rsidRPr="00000000" w:rsidDel="00000000">
        <w:rPr>
          <w:i w:val="1"/>
          <w:rtl w:val="0"/>
        </w:rPr>
        <w:t xml:space="preserve">de minimis</w:t>
      </w:r>
      <w:r w:rsidR="00000000" w:rsidRPr="00000000" w:rsidDel="00000000">
        <w:rPr>
          <w:rtl w:val="0"/>
        </w:rPr>
        <w:t xml:space="preserve"> atbalstu citu atbalsta programmu vai individuālā atbalsta projektu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drīkst kumulēt ar citu komercdarbības atbalstu, kas sniegts kā kompensācija par sabiedriskajiem pakalpojumiem dažiem uzņēmumiem, kuriem uzticēts sniegt pakalpojumus ar vispārēju tautsaimniecisku nozīmi, citas atbalsta programmas vai individuālā atbalsta projekta ietvaros par vienām un tām pašām attiecināmajām izmaksām, ja pēc atbalstu apvienošanas atbalsta vienībai vai izmaksu pozīcijai attiecīgā maksimālā atbalsta intensitāte nepārsniedz 100 %.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Atbalsta saņēmējs par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paredzēto komercdarbības atbalsta kumulāciju sadarbības iestādē iesniedz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sedz projekta izmaksu pieaugumu par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nodrošina, lai neiestātos dubultais finansējums  un projektā plānotās darbības netiktu finansētas no citiem valsts, pašvaldību un ārvalstu finanšu atbalsta instrumentiem vai citiem publiskajiem līdzekļiem, izņemot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paredzēto komercdarbības atbalsta kumulāciju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tiek pārkāpti komercdarbības atbalsta piešķiršanas nosacījumi vispārējas tautsaimnieciskas nozīmes pakalpojumu sniegšanai, sadarbības iestāde finansējuma saņēmējam uzliek par pienākumu atmaksāt sadarbības iestādei projekta ietvaros saņemto nelikumīgo komercdarbības atbalstu. Atmaksu veic kopā ar procentiem no līdzekļiem, kas ir brīvi no komercdarbības atbalsta, saskaņā ar Komercdarbības atbalsta kontroles likuma IV vai V nodaļu.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Projektu īstenošanas un uzraudzības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Sadarbības iestāde, pamatojoties uz finansējuma saņēmēja rakstisku avansa pieprasījumu, atbilstoši normatīvajam aktam par valsts budžeta līdzekļu plānošanu Eiropas Savienības fondu projektu īstenošanai un maksājumu veikšanu 2021.–2027. gada plānošanas periodā nodrošina finansējuma saņēmējam avansa maksājumu, nepārsniedzot 30 procentus no projektam piešķirtā Eiropas Reģionālās attīstības fonda finansējuma. Avansu var izmaksāt vairākos maksājumos.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Avansa maksājuma izlietošanas laiks finansējuma saņēmējam nepārsniedz deviņus mēnešus.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būvprojekts izstrādāts saskaņā ar atsevišķu līgumu, projekta ietvaros maksājuma pieprasījumu par būvprojekta izstrādi iesniedz sadarbības iestādē tikai pēc tam, kad noslēgts līgums par būvdarbu veikšanu.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projekta īstenošanas ietvaros nepieciešamās iepirkumu procedūras tiek veiktas saskaņā ar normatīvo aktu prasībām iepirkumu procedūras jomā, īstenojot atklātu, pārredzamu, nediskriminējošu un konkurenci nodrošinošu konkursa procedūru. Atbalstāma ir sociālo un vides prasību integrācija preču, pakalpojumu un būvdarbu iepirkumos (sociāli atbildīgs publiskais iepirkums un zaļais publiskais iepirkums);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īsteno vismaz vienu vispārīgo horizontālā principa darbību (attiecināms, ja projekta ietvaros identificētas horizontālā principa vispārīgās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horizontālos principus "Nenodarīt būtisku kaitējumu" un "Klimatdrošināšana";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noslēguma maksājuma veikšanas katru gadu pēcuzraudzības periodā līdz 31. janvārim informē sadarbības iestādi par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minētā nacionālā rādītāja sasniegto putekļu daļiņu emisiju ietaupījumu iepriekšējā gadā;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vismaz piecus gadus pēc noslēguma maksājuma veikšanas projektā ieguldītās investīcijas un radītie pamatlīdzekļi tiek izmantoti projektā paredzētajam mērķim;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vismaz piecus gadus pēc noslēguma maksājuma veikšanas nodrošina ieguldīto investīciju ilgtspēju un uzturēšanu darba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ievieš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tam ir tiesības projekta īstenošanas un pēcuzraudzības periodā piekļūt zemesgabaliem, kur projekta ietvaros paredzēti būvdarbi, un veikt tajos nepieciešamos uzturēšanas darbus;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centralizētās siltumapgādes sistēmas un projekta rezultātu ilgtspēju, iekļaujot centralizētas siltumapgādes pakalpojumu tarifā ar siltumapgādes pakalpojumu sniegšanu saistītās izmaksas saskaņā ar projekta iesniegumam pievienoto izmaksu un ieguvumu analīzi.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Publicitātes prasību nodrošināšanai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publicitātes (komunikācijas un vizuālās identitātes) pasākumus saskaņā ar regulas Nr. 2021/1060 47. un 50. pantu un normatīvajiem aktiem par kārtību, kādā Eiropas Savienības fondu vadībā iesaistītās institūcijas nodrošina šo fondu ieviešanu 2021.–2027. gada plānošanas periodā, kā arī atbilstoši Eiropas Savienības fondu 2021.–2027. gada plānošanas perioda un Atveseļošanas fonda komunikācijas un dizaina vadlīnijām;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izvieto sabiedrībai labi redzamā vietā vismaz vienu plakātu vai publicē plakātam līdzvērtīgu elektronisku paziņojumu juridiskās personas tīmekļvietnē vai sociālajos tīklos, kur izklāstīta informācija par projekta darbību un norādīts no fondiem saņemtais atbalsts;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nodrošina, ka ir saņemtas visas vides aizsardzības vai būvniecības jomu reglamentējošajos normatīvajos aktos noteiktās atļaujas, kas nepieciešamas, lai veiktu projektā plānoto tehnoloģisko risinājumu un iekārtu būvniecību vai uzstādīšanu.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novērš interešu konflikta risku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Projekts tiek īstenots 24 mēnešu laikā no civiltiesiskā līguma par projekta īstenošanu noslēgšanas dienas, bet ne ilgāk kā līdz 2027.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23-TA-1822</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23-TA-1822</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noteikumu_projekts_23-TA-1822.docx</dc:title>
</cp:coreProperties>
</file>

<file path=docProps/custom.xml><?xml version="1.0" encoding="utf-8"?>
<Properties xmlns="http://schemas.openxmlformats.org/officeDocument/2006/custom-properties" xmlns:vt="http://schemas.openxmlformats.org/officeDocument/2006/docPropsVTypes"/>
</file>