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attālums starp sējumiem, starp kuriem iespējama nevēlama svešappute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29.06.2010. noteikumu Nr. 594 redakcijā, kas grozīta ar MK 28.03.2017. noteikumiem Nr. 183; MK 26.05.2020. noteikumiem Nr. 328)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6263"/>
        <w:gridCol w:w="2526"/>
        <w:gridCol w:w="2526"/>
        <w:tblGridChange w:id="0">
          <w:tblGrid>
            <w:gridCol w:w="610"/>
            <w:gridCol w:w="6263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augu suga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lielums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ha un mazāks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2 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Stiebrzāles, eļļas rutki* un tauriņzieži (izņemot sējas zirņus un lauka pupas)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 tiek izmantota tālākai pavairošanai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 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 tiek ražota lopbarības sējumiem vai apzaļumošanai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kāļi*, lopbarības kāposti* un facēlija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 (B)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 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 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 (C)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 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 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Piezīme.* Krustziežu sugu (</w:t>
      </w:r>
      <w:r w:rsidR="00000000" w:rsidRPr="00000000" w:rsidDel="00000000">
        <w:rPr>
          <w:i w:val="1"/>
          <w:rtl w:val="0"/>
        </w:rPr>
        <w:t xml:space="preserve">Brassica</w:t>
      </w:r>
      <w:r w:rsidR="00000000" w:rsidRPr="00000000" w:rsidDel="00000000">
        <w:rPr>
          <w:rtl w:val="0"/>
        </w:rPr>
        <w:t xml:space="preserve"> spp.) sējumos minimālais attālums jāievēro starp: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to sugu sējumiem, starp kurām iespējama saziedēšanās;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to sugu sējumiem, kuru sēklas laboratorijā ir grūti atšķiramas.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