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februārī (prot. Nr. 5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Finanšu ministrijai (Valsts ieņēmumu dienestam) nodot Ukrainai (Ukrainas Aizsardzības ministrijai un tās  armijas daļām, Mikolajivas apgabala Arbuzinskas ciema padomei, Nacionālās gvardes militārajai vienībai)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"Kārtība, kādā valsts kustamo mantu nodod bez atlīdzības ārvalstu valdību un starpvalstu organizāciju īpašumā"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25-TA-104</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25-TA-104</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rīkojuma_projekts_25-TA-104.docx</dc:title>
</cp:coreProperties>
</file>

<file path=docProps/custom.xml><?xml version="1.0" encoding="utf-8"?>
<Properties xmlns="http://schemas.openxmlformats.org/officeDocument/2006/custom-properties" xmlns:vt="http://schemas.openxmlformats.org/officeDocument/2006/docPropsVTypes"/>
</file>