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B5DF2" w14:textId="6EA13F62" w:rsidR="00A709EE" w:rsidRPr="006E14AC" w:rsidRDefault="00A709EE" w:rsidP="00A709E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4. pielikums </w:t>
      </w:r>
    </w:p>
    <w:p w14:paraId="640FF13E" w14:textId="77777777" w:rsidR="00A709EE" w:rsidRPr="006E14AC" w:rsidRDefault="00A709EE" w:rsidP="00A709E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Ministru kabineta </w:t>
      </w:r>
    </w:p>
    <w:p w14:paraId="52A6B9AE" w14:textId="77777777" w:rsidR="00A709EE" w:rsidRPr="006E14AC" w:rsidRDefault="00A709EE" w:rsidP="00A709EE">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fldChar w:fldCharType="begin"/>
      </w:r>
      <w:r w:rsidRPr="006E14AC">
        <w:rPr>
          <w:rFonts w:ascii="Times New Roman" w:eastAsia="Times New Roman" w:hAnsi="Times New Roman"/>
          <w:sz w:val="28"/>
          <w:lang w:eastAsia="en-GB"/>
        </w:rPr>
        <w:instrText xml:space="preserve"> MERGEFIELD =TAP_DOK_DATUMS_GEN \* MERGEFORMAT </w:instrText>
      </w:r>
      <w:r w:rsidRPr="006E14AC">
        <w:rPr>
          <w:rFonts w:ascii="Times New Roman" w:eastAsia="Times New Roman" w:hAnsi="Times New Roman"/>
          <w:sz w:val="28"/>
          <w:lang w:eastAsia="en-GB"/>
        </w:rPr>
        <w:fldChar w:fldCharType="separate"/>
      </w:r>
      <w:r w:rsidRPr="006E14AC">
        <w:rPr>
          <w:rFonts w:ascii="Times New Roman" w:eastAsia="Times New Roman" w:hAnsi="Times New Roman"/>
          <w:sz w:val="28"/>
          <w:lang w:eastAsia="en-GB"/>
        </w:rPr>
        <w:t>«=TAP_DOK_DATUMS_GEN»</w:t>
      </w:r>
      <w:r w:rsidRPr="006E14AC">
        <w:rPr>
          <w:rFonts w:ascii="Times New Roman" w:eastAsia="Times New Roman" w:hAnsi="Times New Roman"/>
          <w:sz w:val="28"/>
          <w:lang w:eastAsia="en-GB"/>
        </w:rPr>
        <w:fldChar w:fldCharType="end"/>
      </w:r>
    </w:p>
    <w:p w14:paraId="612E201A" w14:textId="77777777" w:rsidR="00A709EE" w:rsidRPr="006E14AC" w:rsidRDefault="00A709EE" w:rsidP="00A709EE">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noteikumiem Nr. </w:t>
      </w:r>
      <w:r w:rsidRPr="006E14AC">
        <w:rPr>
          <w:rFonts w:ascii="Times New Roman" w:eastAsia="Times New Roman" w:hAnsi="Times New Roman"/>
          <w:sz w:val="28"/>
          <w:lang w:eastAsia="en-GB"/>
        </w:rPr>
        <w:fldChar w:fldCharType="begin"/>
      </w:r>
      <w:r w:rsidRPr="006E14AC">
        <w:rPr>
          <w:rFonts w:ascii="Times New Roman" w:eastAsia="Times New Roman" w:hAnsi="Times New Roman"/>
          <w:sz w:val="28"/>
          <w:lang w:eastAsia="en-GB"/>
        </w:rPr>
        <w:instrText xml:space="preserve"> MERGEFIELD =TAP_DOK_NUMURS \* MERGEFORMAT </w:instrText>
      </w:r>
      <w:r w:rsidRPr="006E14AC">
        <w:rPr>
          <w:rFonts w:ascii="Times New Roman" w:eastAsia="Times New Roman" w:hAnsi="Times New Roman"/>
          <w:sz w:val="28"/>
          <w:lang w:eastAsia="en-GB"/>
        </w:rPr>
        <w:fldChar w:fldCharType="separate"/>
      </w:r>
      <w:r w:rsidRPr="006E14AC">
        <w:rPr>
          <w:rFonts w:ascii="Times New Roman" w:eastAsia="Times New Roman" w:hAnsi="Times New Roman"/>
          <w:sz w:val="28"/>
          <w:lang w:eastAsia="en-GB"/>
        </w:rPr>
        <w:t>«=TAP_DOK_NUMURS»</w:t>
      </w:r>
      <w:r w:rsidRPr="006E14AC">
        <w:rPr>
          <w:rFonts w:ascii="Times New Roman" w:eastAsia="Times New Roman" w:hAnsi="Times New Roman"/>
          <w:sz w:val="28"/>
          <w:lang w:eastAsia="en-GB"/>
        </w:rPr>
        <w:fldChar w:fldCharType="end"/>
      </w:r>
    </w:p>
    <w:p w14:paraId="419261C2" w14:textId="77777777" w:rsidR="00A709EE" w:rsidRPr="006E14AC" w:rsidRDefault="00A709EE" w:rsidP="00A709EE">
      <w:pPr>
        <w:spacing w:after="0" w:line="240" w:lineRule="auto"/>
        <w:rPr>
          <w:rFonts w:ascii="Times New Roman" w:eastAsia="Times New Roman" w:hAnsi="Times New Roman"/>
          <w:sz w:val="28"/>
          <w:lang w:eastAsia="en-GB"/>
        </w:rPr>
      </w:pPr>
    </w:p>
    <w:p w14:paraId="417A7B5D" w14:textId="277A6239" w:rsidR="00673757" w:rsidRPr="006E14AC" w:rsidRDefault="00A709EE"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w:t>
      </w:r>
      <w:r w:rsidR="004F13AC" w:rsidRPr="006E14AC">
        <w:rPr>
          <w:rFonts w:ascii="Times New Roman" w:eastAsia="Times New Roman" w:hAnsi="Times New Roman"/>
          <w:sz w:val="28"/>
          <w:lang w:eastAsia="en-GB"/>
        </w:rPr>
        <w:t>4. </w:t>
      </w:r>
      <w:r w:rsidR="00673757" w:rsidRPr="006E14AC">
        <w:rPr>
          <w:rFonts w:ascii="Times New Roman" w:eastAsia="Times New Roman" w:hAnsi="Times New Roman"/>
          <w:sz w:val="28"/>
          <w:lang w:eastAsia="en-GB"/>
        </w:rPr>
        <w:t xml:space="preserve">pielikums </w:t>
      </w:r>
    </w:p>
    <w:p w14:paraId="12DB7CD3" w14:textId="77777777" w:rsidR="00673757" w:rsidRPr="006E14AC" w:rsidRDefault="00673757"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Ministru kabineta </w:t>
      </w:r>
    </w:p>
    <w:p w14:paraId="09505C8F" w14:textId="4B275D6B"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2023</w:t>
      </w:r>
      <w:r w:rsidR="004A6E54" w:rsidRPr="006E14AC">
        <w:rPr>
          <w:rFonts w:ascii="Times New Roman" w:eastAsia="Times New Roman" w:hAnsi="Times New Roman"/>
          <w:sz w:val="28"/>
          <w:lang w:eastAsia="en-GB"/>
        </w:rPr>
        <w:t xml:space="preserve">. gada </w:t>
      </w:r>
      <w:r w:rsidRPr="006E14AC">
        <w:rPr>
          <w:rFonts w:ascii="Times New Roman" w:eastAsia="Times New Roman" w:hAnsi="Times New Roman"/>
          <w:sz w:val="28"/>
          <w:lang w:eastAsia="en-GB"/>
        </w:rPr>
        <w:t>10. janvāra</w:t>
      </w:r>
    </w:p>
    <w:p w14:paraId="6AFB8C60" w14:textId="77777777"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noteikumiem Nr. 3</w:t>
      </w:r>
    </w:p>
    <w:p w14:paraId="16C6A46A" w14:textId="289BAA3C" w:rsidR="00AB3600" w:rsidRPr="006E14AC" w:rsidRDefault="00A71535" w:rsidP="00965AEA">
      <w:pPr>
        <w:spacing w:before="100" w:beforeAutospacing="1" w:after="100" w:afterAutospacing="1" w:line="240" w:lineRule="auto"/>
        <w:ind w:left="357"/>
        <w:jc w:val="center"/>
        <w:rPr>
          <w:rFonts w:ascii="Times New Roman" w:eastAsia="Times New Roman" w:hAnsi="Times New Roman" w:cs="Times New Roman"/>
          <w:b/>
          <w:bCs/>
          <w:sz w:val="28"/>
          <w:szCs w:val="28"/>
          <w:lang w:eastAsia="lv-LV"/>
        </w:rPr>
      </w:pPr>
      <w:r w:rsidRPr="006E14AC">
        <w:rPr>
          <w:rFonts w:ascii="Times New Roman" w:hAnsi="Times New Roman" w:cs="Times New Roman"/>
          <w:b/>
          <w:bCs/>
          <w:sz w:val="28"/>
          <w:szCs w:val="28"/>
        </w:rPr>
        <w:t xml:space="preserve">Informācija </w:t>
      </w:r>
      <w:r w:rsidR="00A4392B" w:rsidRPr="006E14AC">
        <w:rPr>
          <w:rFonts w:ascii="Times New Roman" w:hAnsi="Times New Roman" w:cs="Times New Roman"/>
          <w:b/>
          <w:bCs/>
          <w:sz w:val="28"/>
          <w:szCs w:val="28"/>
        </w:rPr>
        <w:t xml:space="preserve">par </w:t>
      </w:r>
      <w:r w:rsidRPr="006E14AC">
        <w:rPr>
          <w:rFonts w:ascii="Times New Roman" w:hAnsi="Times New Roman" w:cs="Times New Roman"/>
          <w:b/>
          <w:bCs/>
          <w:sz w:val="28"/>
          <w:szCs w:val="28"/>
        </w:rPr>
        <w:t>atbilstīb</w:t>
      </w:r>
      <w:r w:rsidR="004D5D76" w:rsidRPr="006E14AC">
        <w:rPr>
          <w:rFonts w:ascii="Times New Roman" w:hAnsi="Times New Roman" w:cs="Times New Roman"/>
          <w:b/>
          <w:bCs/>
          <w:sz w:val="28"/>
          <w:szCs w:val="28"/>
        </w:rPr>
        <w:t>u</w:t>
      </w:r>
      <w:r w:rsidRPr="006E14AC">
        <w:rPr>
          <w:rFonts w:ascii="Times New Roman" w:hAnsi="Times New Roman" w:cs="Times New Roman"/>
          <w:b/>
          <w:bCs/>
          <w:sz w:val="28"/>
          <w:szCs w:val="28"/>
        </w:rPr>
        <w:t xml:space="preserve"> </w:t>
      </w:r>
      <w:r w:rsidR="00AB3600" w:rsidRPr="006E14AC">
        <w:rPr>
          <w:rFonts w:ascii="Times New Roman" w:hAnsi="Times New Roman" w:cs="Times New Roman"/>
          <w:b/>
          <w:bCs/>
          <w:sz w:val="28"/>
          <w:szCs w:val="28"/>
        </w:rPr>
        <w:t>starptautisk</w:t>
      </w:r>
      <w:r w:rsidR="00F27785" w:rsidRPr="006E14AC">
        <w:rPr>
          <w:rFonts w:ascii="Times New Roman" w:hAnsi="Times New Roman" w:cs="Times New Roman"/>
          <w:b/>
          <w:bCs/>
          <w:sz w:val="28"/>
          <w:szCs w:val="28"/>
        </w:rPr>
        <w:t>aj</w:t>
      </w:r>
      <w:r w:rsidR="00AB3600" w:rsidRPr="006E14AC">
        <w:rPr>
          <w:rFonts w:ascii="Times New Roman" w:hAnsi="Times New Roman" w:cs="Times New Roman"/>
          <w:b/>
          <w:bCs/>
          <w:sz w:val="28"/>
          <w:szCs w:val="28"/>
        </w:rPr>
        <w:t>iem radiofrekvenču spektr</w:t>
      </w:r>
      <w:r w:rsidR="00937E24" w:rsidRPr="006E14AC">
        <w:rPr>
          <w:rFonts w:ascii="Times New Roman" w:hAnsi="Times New Roman" w:cs="Times New Roman"/>
          <w:b/>
          <w:bCs/>
          <w:sz w:val="28"/>
          <w:szCs w:val="28"/>
        </w:rPr>
        <w:t>a</w:t>
      </w:r>
      <w:r w:rsidR="00AB3600" w:rsidRPr="006E14AC">
        <w:rPr>
          <w:rFonts w:ascii="Times New Roman" w:hAnsi="Times New Roman" w:cs="Times New Roman"/>
          <w:b/>
          <w:bCs/>
          <w:sz w:val="28"/>
          <w:szCs w:val="28"/>
        </w:rPr>
        <w:t xml:space="preserve"> izmantošanas nosacījumiem</w:t>
      </w:r>
    </w:p>
    <w:p w14:paraId="5D9E23D7" w14:textId="77777777" w:rsidR="002B24A1" w:rsidRPr="006E14AC" w:rsidRDefault="008E0D70" w:rsidP="00965AEA">
      <w:pPr>
        <w:spacing w:before="100" w:beforeAutospacing="1" w:after="100" w:afterAutospacing="1" w:line="240" w:lineRule="auto"/>
        <w:rPr>
          <w:rFonts w:ascii="Times New Roman" w:eastAsia="Times New Roman" w:hAnsi="Times New Roman" w:cs="Times New Roman"/>
          <w:b/>
          <w:bCs/>
          <w:sz w:val="28"/>
          <w:szCs w:val="28"/>
        </w:rPr>
      </w:pPr>
      <w:r w:rsidRPr="006E14AC">
        <w:rPr>
          <w:rFonts w:ascii="Times New Roman" w:eastAsia="Times New Roman" w:hAnsi="Times New Roman" w:cs="Times New Roman"/>
          <w:b/>
          <w:bCs/>
          <w:sz w:val="28"/>
          <w:szCs w:val="28"/>
          <w:lang w:eastAsia="lv-LV"/>
        </w:rPr>
        <w:t xml:space="preserve">1. </w:t>
      </w:r>
      <w:r w:rsidR="00AA1E28" w:rsidRPr="006E14AC">
        <w:rPr>
          <w:rFonts w:ascii="Times New Roman" w:eastAsia="Times New Roman" w:hAnsi="Times New Roman" w:cs="Times New Roman"/>
          <w:b/>
          <w:bCs/>
          <w:sz w:val="28"/>
          <w:szCs w:val="28"/>
          <w:lang w:eastAsia="lv-LV"/>
        </w:rPr>
        <w:t>Eiropas Parlamenta un Padomes, Eiropas Komisijas lēmumi</w:t>
      </w:r>
    </w:p>
    <w:tbl>
      <w:tblPr>
        <w:tblStyle w:val="TableGrid"/>
        <w:tblW w:w="0" w:type="auto"/>
        <w:tblLook w:val="04A0" w:firstRow="1" w:lastRow="0" w:firstColumn="1" w:lastColumn="0" w:noHBand="0" w:noVBand="1"/>
      </w:tblPr>
      <w:tblGrid>
        <w:gridCol w:w="846"/>
        <w:gridCol w:w="8215"/>
      </w:tblGrid>
      <w:tr w:rsidR="006E14AC" w:rsidRPr="006E14AC" w14:paraId="17533CE6" w14:textId="77777777" w:rsidTr="00965AEA">
        <w:tc>
          <w:tcPr>
            <w:tcW w:w="846" w:type="dxa"/>
            <w:vAlign w:val="center"/>
          </w:tcPr>
          <w:p w14:paraId="16D1C4D4" w14:textId="77777777" w:rsidR="00CB699B" w:rsidRPr="006E14AC" w:rsidRDefault="00B84D47"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0878A4B4" w14:textId="77777777" w:rsidR="00CB699B" w:rsidRPr="006E14AC" w:rsidRDefault="006568C5"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5A85531" w14:textId="77777777" w:rsidTr="00435CB6">
        <w:tc>
          <w:tcPr>
            <w:tcW w:w="846" w:type="dxa"/>
          </w:tcPr>
          <w:p w14:paraId="6F53FD2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w:t>
            </w:r>
          </w:p>
        </w:tc>
        <w:tc>
          <w:tcPr>
            <w:tcW w:w="8215" w:type="dxa"/>
          </w:tcPr>
          <w:p w14:paraId="042474FA" w14:textId="0D727F9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 xml:space="preserve">Lēmums </w:t>
            </w:r>
            <w:hyperlink r:id="rId12" w:history="1">
              <w:r w:rsidRPr="006E14AC">
                <w:rPr>
                  <w:rFonts w:ascii="Times New Roman" w:eastAsia="Times New Roman" w:hAnsi="Times New Roman" w:cs="Times New Roman"/>
                  <w:sz w:val="24"/>
                  <w:szCs w:val="24"/>
                  <w:lang w:eastAsia="lv-LV"/>
                </w:rPr>
                <w:t>2004/545/EK</w:t>
              </w:r>
            </w:hyperlink>
            <w:r w:rsidRPr="006E14AC">
              <w:rPr>
                <w:rFonts w:ascii="Times New Roman" w:eastAsia="Times New Roman" w:hAnsi="Times New Roman" w:cs="Times New Roman"/>
                <w:sz w:val="24"/>
                <w:szCs w:val="24"/>
                <w:lang w:eastAsia="lv-LV"/>
              </w:rPr>
              <w:t xml:space="preserve"> par radiofrekvenču spektra saskaņošanu 79 GHz diapazonā automobiļu šaura diapazona </w:t>
            </w:r>
            <w:proofErr w:type="spellStart"/>
            <w:r w:rsidRPr="006E14AC">
              <w:rPr>
                <w:rFonts w:ascii="Times New Roman" w:eastAsia="Times New Roman" w:hAnsi="Times New Roman" w:cs="Times New Roman"/>
                <w:sz w:val="24"/>
                <w:szCs w:val="24"/>
                <w:lang w:eastAsia="lv-LV"/>
              </w:rPr>
              <w:t>radariekārtu</w:t>
            </w:r>
            <w:proofErr w:type="spellEnd"/>
            <w:r w:rsidRPr="006E14AC">
              <w:rPr>
                <w:rFonts w:ascii="Times New Roman" w:eastAsia="Times New Roman" w:hAnsi="Times New Roman" w:cs="Times New Roman"/>
                <w:sz w:val="24"/>
                <w:szCs w:val="24"/>
                <w:lang w:eastAsia="lv-LV"/>
              </w:rPr>
              <w:t xml:space="preserve"> izmantošanai Kopienā</w:t>
            </w:r>
          </w:p>
        </w:tc>
      </w:tr>
      <w:tr w:rsidR="006E14AC" w:rsidRPr="006E14AC" w14:paraId="37B2F5BD" w14:textId="77777777" w:rsidTr="00965AEA">
        <w:tc>
          <w:tcPr>
            <w:tcW w:w="846" w:type="dxa"/>
          </w:tcPr>
          <w:p w14:paraId="25D8FF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w:t>
            </w:r>
          </w:p>
        </w:tc>
        <w:tc>
          <w:tcPr>
            <w:tcW w:w="8215" w:type="dxa"/>
          </w:tcPr>
          <w:p w14:paraId="10CA307D" w14:textId="01E7DA3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 xml:space="preserve">Lēmums </w:t>
            </w:r>
            <w:hyperlink r:id="rId13"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tuvdarbības radaru iekārtu lietojumā uz ierobežotu laiku Kopienā</w:t>
            </w:r>
          </w:p>
        </w:tc>
      </w:tr>
      <w:tr w:rsidR="006E14AC" w:rsidRPr="006E14AC" w14:paraId="71D17BE0" w14:textId="77777777" w:rsidTr="00435CB6">
        <w:tc>
          <w:tcPr>
            <w:tcW w:w="846" w:type="dxa"/>
          </w:tcPr>
          <w:p w14:paraId="678A34B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w:t>
            </w:r>
          </w:p>
        </w:tc>
        <w:tc>
          <w:tcPr>
            <w:tcW w:w="8215" w:type="dxa"/>
          </w:tcPr>
          <w:p w14:paraId="3C144CC2" w14:textId="724A1DD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9</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Lēmums </w:t>
            </w:r>
            <w:hyperlink r:id="rId14"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w:t>
            </w:r>
          </w:p>
        </w:tc>
      </w:tr>
      <w:tr w:rsidR="006E14AC" w:rsidRPr="006E14AC" w14:paraId="16AB8E85" w14:textId="77777777" w:rsidTr="00435CB6">
        <w:tc>
          <w:tcPr>
            <w:tcW w:w="846" w:type="dxa"/>
          </w:tcPr>
          <w:p w14:paraId="58918893" w14:textId="5C276C64"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w:t>
            </w:r>
            <w:r w:rsidRPr="006E14AC">
              <w:rPr>
                <w:rFonts w:ascii="Times New Roman" w:eastAsia="Times New Roman" w:hAnsi="Times New Roman" w:cs="Times New Roman"/>
                <w:sz w:val="24"/>
                <w:szCs w:val="24"/>
                <w:lang w:eastAsia="lv-LV"/>
              </w:rPr>
              <w:t>.</w:t>
            </w:r>
          </w:p>
        </w:tc>
        <w:tc>
          <w:tcPr>
            <w:tcW w:w="8215" w:type="dxa"/>
          </w:tcPr>
          <w:p w14:paraId="62314186" w14:textId="0D045E2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februāra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2007/98/EK par radiofrekvenču spektra harmonizētu izmantošanu 2 GHz frekvenču joslās mobilo satelītsakaru pakalpojumu sistēmu ieviešanai</w:t>
            </w:r>
          </w:p>
        </w:tc>
      </w:tr>
      <w:tr w:rsidR="006E14AC" w:rsidRPr="006E14AC" w14:paraId="0B126550" w14:textId="77777777" w:rsidTr="00435CB6">
        <w:tc>
          <w:tcPr>
            <w:tcW w:w="846" w:type="dxa"/>
          </w:tcPr>
          <w:p w14:paraId="4E8739D1" w14:textId="6F76101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5</w:t>
            </w:r>
            <w:r w:rsidRPr="006E14AC">
              <w:rPr>
                <w:rFonts w:ascii="Times New Roman" w:eastAsia="Times New Roman" w:hAnsi="Times New Roman" w:cs="Times New Roman"/>
                <w:sz w:val="24"/>
                <w:szCs w:val="24"/>
                <w:lang w:eastAsia="lv-LV"/>
              </w:rPr>
              <w:t>.</w:t>
            </w:r>
          </w:p>
        </w:tc>
        <w:tc>
          <w:tcPr>
            <w:tcW w:w="8215" w:type="dxa"/>
          </w:tcPr>
          <w:p w14:paraId="34C1D4ED" w14:textId="0D0D0B0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 xml:space="preserve">7. aprīļa Lēmums </w:t>
            </w:r>
            <w:hyperlink r:id="rId15"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par harmonizētiem frekvenču spektra izmantošanas nosacījumiem mobilo sakaru pakalpojumu darbībai gaisakuģos (MCA pakalpojumiem) Kopienā</w:t>
            </w:r>
          </w:p>
        </w:tc>
      </w:tr>
      <w:tr w:rsidR="006E14AC" w:rsidRPr="006E14AC" w14:paraId="7746BE69" w14:textId="77777777" w:rsidTr="00435CB6">
        <w:tc>
          <w:tcPr>
            <w:tcW w:w="846" w:type="dxa"/>
          </w:tcPr>
          <w:p w14:paraId="5BC5600A" w14:textId="1F5350EB"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6</w:t>
            </w:r>
            <w:r w:rsidRPr="006E14AC">
              <w:rPr>
                <w:rFonts w:ascii="Times New Roman" w:eastAsia="Times New Roman" w:hAnsi="Times New Roman" w:cs="Times New Roman"/>
                <w:sz w:val="24"/>
                <w:szCs w:val="24"/>
                <w:lang w:eastAsia="lv-LV"/>
              </w:rPr>
              <w:t>.</w:t>
            </w:r>
          </w:p>
        </w:tc>
        <w:tc>
          <w:tcPr>
            <w:tcW w:w="8215" w:type="dxa"/>
          </w:tcPr>
          <w:p w14:paraId="3E023F64" w14:textId="4448D40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6"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par 3400–3800 MHz frekvenču joslas harmonizāciju tādu zemes sistēmu vajadzībām, kas Kopienā spēj nodrošināt elektronisko sakaru pakalpojumus</w:t>
            </w:r>
          </w:p>
        </w:tc>
      </w:tr>
      <w:tr w:rsidR="006E14AC" w:rsidRPr="006E14AC" w14:paraId="74875FB5" w14:textId="77777777" w:rsidTr="00435CB6">
        <w:tc>
          <w:tcPr>
            <w:tcW w:w="846" w:type="dxa"/>
          </w:tcPr>
          <w:p w14:paraId="7003AF3D" w14:textId="5A53FAD8"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7</w:t>
            </w:r>
            <w:r w:rsidRPr="006E14AC">
              <w:rPr>
                <w:rFonts w:ascii="Times New Roman" w:eastAsia="Times New Roman" w:hAnsi="Times New Roman" w:cs="Times New Roman"/>
                <w:sz w:val="24"/>
                <w:szCs w:val="24"/>
                <w:lang w:eastAsia="lv-LV"/>
              </w:rPr>
              <w:t>.</w:t>
            </w:r>
          </w:p>
        </w:tc>
        <w:tc>
          <w:tcPr>
            <w:tcW w:w="8215" w:type="dxa"/>
          </w:tcPr>
          <w:p w14:paraId="5866A2FB" w14:textId="55EB387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7" w:history="1">
              <w:r w:rsidRPr="006E14AC">
                <w:rPr>
                  <w:rFonts w:ascii="Times New Roman" w:eastAsia="Times New Roman" w:hAnsi="Times New Roman" w:cs="Times New Roman"/>
                  <w:sz w:val="24"/>
                  <w:szCs w:val="24"/>
                  <w:lang w:eastAsia="lv-LV"/>
                </w:rPr>
                <w:t>2008/432/EK</w:t>
              </w:r>
            </w:hyperlink>
            <w:r w:rsidRPr="006E14AC">
              <w:rPr>
                <w:rFonts w:ascii="Times New Roman" w:eastAsia="Times New Roman" w:hAnsi="Times New Roman" w:cs="Times New Roman"/>
                <w:sz w:val="24"/>
                <w:szCs w:val="24"/>
                <w:lang w:eastAsia="lv-LV"/>
              </w:rPr>
              <w:t>, ar ko izdara grozījumus Lēmumā </w:t>
            </w:r>
            <w:hyperlink r:id="rId18"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6E14AC" w:rsidRPr="006E14AC" w14:paraId="6A83A833" w14:textId="77777777" w:rsidTr="00435CB6">
        <w:tc>
          <w:tcPr>
            <w:tcW w:w="846" w:type="dxa"/>
          </w:tcPr>
          <w:p w14:paraId="086F8B82" w14:textId="62CB288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8</w:t>
            </w:r>
            <w:r w:rsidRPr="006E14AC">
              <w:rPr>
                <w:rFonts w:ascii="Times New Roman" w:eastAsia="Times New Roman" w:hAnsi="Times New Roman" w:cs="Times New Roman"/>
                <w:sz w:val="24"/>
                <w:szCs w:val="24"/>
                <w:lang w:eastAsia="lv-LV"/>
              </w:rPr>
              <w:t>.</w:t>
            </w:r>
          </w:p>
        </w:tc>
        <w:tc>
          <w:tcPr>
            <w:tcW w:w="8215" w:type="dxa"/>
          </w:tcPr>
          <w:p w14:paraId="3A47AB4E" w14:textId="005D8CD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Lēmums 2008/477/EK par 2500–2690 MHz frekvenču joslas harmonizāciju tādu zemes sistēmu vajadzībām, kas Kopienā spēj nodrošināt elektronisko sakaru pakalpojumus</w:t>
            </w:r>
          </w:p>
        </w:tc>
      </w:tr>
      <w:tr w:rsidR="006E14AC" w:rsidRPr="006E14AC" w14:paraId="28219ED8" w14:textId="77777777" w:rsidTr="00435CB6">
        <w:tc>
          <w:tcPr>
            <w:tcW w:w="846" w:type="dxa"/>
          </w:tcPr>
          <w:p w14:paraId="57D896B3" w14:textId="26DDB64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9</w:t>
            </w:r>
            <w:r w:rsidRPr="006E14AC">
              <w:rPr>
                <w:rFonts w:ascii="Times New Roman" w:eastAsia="Times New Roman" w:hAnsi="Times New Roman" w:cs="Times New Roman"/>
                <w:sz w:val="24"/>
                <w:szCs w:val="24"/>
                <w:lang w:eastAsia="lv-LV"/>
              </w:rPr>
              <w:t>.</w:t>
            </w:r>
          </w:p>
        </w:tc>
        <w:tc>
          <w:tcPr>
            <w:tcW w:w="8215" w:type="dxa"/>
          </w:tcPr>
          <w:p w14:paraId="2B1A39A1" w14:textId="1A51B53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Nr. </w:t>
            </w:r>
            <w:hyperlink r:id="rId19" w:history="1">
              <w:r w:rsidRPr="006E14AC">
                <w:rPr>
                  <w:rFonts w:ascii="Times New Roman" w:eastAsia="Times New Roman" w:hAnsi="Times New Roman" w:cs="Times New Roman"/>
                  <w:sz w:val="24"/>
                  <w:szCs w:val="24"/>
                  <w:lang w:eastAsia="lv-LV"/>
                </w:rPr>
                <w:t>626/2008/EK</w:t>
              </w:r>
            </w:hyperlink>
            <w:r w:rsidRPr="006E14AC">
              <w:rPr>
                <w:rFonts w:ascii="Times New Roman" w:eastAsia="Times New Roman" w:hAnsi="Times New Roman" w:cs="Times New Roman"/>
                <w:sz w:val="24"/>
                <w:szCs w:val="24"/>
                <w:lang w:eastAsia="lv-LV"/>
              </w:rPr>
              <w:t xml:space="preserve"> par sistēmu atlasi mobilo satelītsakaru pakalpojumu (MSP) nodrošināšanai un atļauju piešķiršanu šīm sistēmām</w:t>
            </w:r>
          </w:p>
        </w:tc>
      </w:tr>
      <w:tr w:rsidR="006E14AC" w:rsidRPr="006E14AC" w14:paraId="0C765BA3" w14:textId="77777777" w:rsidTr="00435CB6">
        <w:tc>
          <w:tcPr>
            <w:tcW w:w="846" w:type="dxa"/>
          </w:tcPr>
          <w:p w14:paraId="2CD797A4" w14:textId="22A5A9D7"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w:t>
            </w:r>
            <w:r w:rsidR="00A36569" w:rsidRPr="006E14AC">
              <w:rPr>
                <w:rFonts w:ascii="Times New Roman" w:eastAsia="Times New Roman" w:hAnsi="Times New Roman" w:cs="Times New Roman"/>
                <w:sz w:val="24"/>
                <w:szCs w:val="24"/>
                <w:lang w:eastAsia="lv-LV"/>
              </w:rPr>
              <w:t>10</w:t>
            </w:r>
            <w:r w:rsidRPr="006E14AC">
              <w:rPr>
                <w:rFonts w:ascii="Times New Roman" w:eastAsia="Times New Roman" w:hAnsi="Times New Roman" w:cs="Times New Roman"/>
                <w:sz w:val="24"/>
                <w:szCs w:val="24"/>
                <w:lang w:eastAsia="lv-LV"/>
              </w:rPr>
              <w:t>.</w:t>
            </w:r>
          </w:p>
        </w:tc>
        <w:tc>
          <w:tcPr>
            <w:tcW w:w="8215" w:type="dxa"/>
          </w:tcPr>
          <w:p w14:paraId="65E139E1" w14:textId="4037BBD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Lēmums 2009/381/EK</w:t>
            </w:r>
            <w:r w:rsidR="00354AB5"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ar ko izdara grozījumus Lēmumā 2006/771/EK par maza darbības attāluma ierīcēs izmantotā radiofrekvenču spektra saskaņošanu</w:t>
            </w:r>
          </w:p>
        </w:tc>
      </w:tr>
      <w:tr w:rsidR="006E14AC" w:rsidRPr="006E14AC" w14:paraId="36604578" w14:textId="77777777" w:rsidTr="00435CB6">
        <w:tc>
          <w:tcPr>
            <w:tcW w:w="846" w:type="dxa"/>
          </w:tcPr>
          <w:p w14:paraId="33A62919" w14:textId="487168DC"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11</w:t>
            </w:r>
            <w:r w:rsidRPr="006E14AC">
              <w:rPr>
                <w:rFonts w:ascii="Times New Roman" w:eastAsia="Times New Roman" w:hAnsi="Times New Roman" w:cs="Times New Roman"/>
                <w:sz w:val="24"/>
                <w:szCs w:val="24"/>
                <w:lang w:eastAsia="lv-LV"/>
              </w:rPr>
              <w:t>.</w:t>
            </w:r>
          </w:p>
        </w:tc>
        <w:tc>
          <w:tcPr>
            <w:tcW w:w="8215" w:type="dxa"/>
          </w:tcPr>
          <w:p w14:paraId="0883765B" w14:textId="1075579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 xml:space="preserve">Lēmums </w:t>
            </w:r>
            <w:hyperlink r:id="rId20" w:history="1">
              <w:r w:rsidRPr="006E14AC">
                <w:rPr>
                  <w:rFonts w:ascii="Times New Roman" w:eastAsia="Times New Roman" w:hAnsi="Times New Roman" w:cs="Times New Roman"/>
                  <w:sz w:val="24"/>
                  <w:szCs w:val="24"/>
                  <w:lang w:eastAsia="lv-LV"/>
                </w:rPr>
                <w:t>2010/267/ES</w:t>
              </w:r>
            </w:hyperlink>
            <w:r w:rsidRPr="006E14AC">
              <w:rPr>
                <w:rFonts w:ascii="Times New Roman" w:eastAsia="Times New Roman" w:hAnsi="Times New Roman" w:cs="Times New Roman"/>
                <w:sz w:val="24"/>
                <w:szCs w:val="24"/>
                <w:lang w:eastAsia="lv-LV"/>
              </w:rPr>
              <w:t xml:space="preserve"> par harmonizētiem tehniskajiem lietošanas nosacījumiem 790–862 MHz frekvenču joslā tādām zemes sistēmām, kas spēj nodrošināt elektronisko sakaru pakalpojumus Eiropas Savienībā</w:t>
            </w:r>
          </w:p>
        </w:tc>
      </w:tr>
      <w:tr w:rsidR="006E14AC" w:rsidRPr="006E14AC" w14:paraId="3163181A" w14:textId="77777777" w:rsidTr="00435CB6">
        <w:tc>
          <w:tcPr>
            <w:tcW w:w="846" w:type="dxa"/>
          </w:tcPr>
          <w:p w14:paraId="2655E037" w14:textId="41D08BE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12</w:t>
            </w:r>
            <w:r w:rsidRPr="006E14AC">
              <w:rPr>
                <w:rFonts w:ascii="Times New Roman" w:eastAsia="Times New Roman" w:hAnsi="Times New Roman" w:cs="Times New Roman"/>
                <w:sz w:val="24"/>
                <w:szCs w:val="24"/>
                <w:lang w:eastAsia="lv-LV"/>
              </w:rPr>
              <w:t>.</w:t>
            </w:r>
          </w:p>
        </w:tc>
        <w:tc>
          <w:tcPr>
            <w:tcW w:w="8215" w:type="dxa"/>
          </w:tcPr>
          <w:p w14:paraId="47876CBB" w14:textId="069EC6B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 xml:space="preserve">Lēmums </w:t>
            </w:r>
            <w:hyperlink r:id="rId21" w:history="1">
              <w:r w:rsidRPr="006E14AC">
                <w:rPr>
                  <w:rFonts w:ascii="Times New Roman" w:eastAsia="Times New Roman" w:hAnsi="Times New Roman" w:cs="Times New Roman"/>
                  <w:sz w:val="24"/>
                  <w:szCs w:val="24"/>
                  <w:lang w:eastAsia="lv-LV"/>
                </w:rPr>
                <w:t>2010/166/ES</w:t>
              </w:r>
            </w:hyperlink>
            <w:r w:rsidRPr="006E14AC">
              <w:rPr>
                <w:rFonts w:ascii="Times New Roman" w:eastAsia="Times New Roman" w:hAnsi="Times New Roman" w:cs="Times New Roman"/>
                <w:sz w:val="24"/>
                <w:szCs w:val="24"/>
                <w:lang w:eastAsia="lv-LV"/>
              </w:rPr>
              <w:t xml:space="preserve"> par harmonizētiem nosacījumiem radiofrekvenču spektra izmantošanai mobilo sakaru pakalpojumiem kuģos (MCV pakalpojumiem) Eiropas Savienībā</w:t>
            </w:r>
          </w:p>
        </w:tc>
      </w:tr>
      <w:tr w:rsidR="006E14AC" w:rsidRPr="006E14AC" w14:paraId="45661C88" w14:textId="77777777" w:rsidTr="00435CB6">
        <w:tc>
          <w:tcPr>
            <w:tcW w:w="846" w:type="dxa"/>
          </w:tcPr>
          <w:p w14:paraId="41A072F0" w14:textId="7893D76F"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13</w:t>
            </w:r>
            <w:r w:rsidRPr="006E14AC">
              <w:rPr>
                <w:rFonts w:ascii="Times New Roman" w:eastAsia="Times New Roman" w:hAnsi="Times New Roman" w:cs="Times New Roman"/>
                <w:sz w:val="24"/>
                <w:szCs w:val="24"/>
                <w:lang w:eastAsia="lv-LV"/>
              </w:rPr>
              <w:t>.</w:t>
            </w:r>
          </w:p>
        </w:tc>
        <w:tc>
          <w:tcPr>
            <w:tcW w:w="8215" w:type="dxa"/>
          </w:tcPr>
          <w:p w14:paraId="436644B1" w14:textId="757191B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 xml:space="preserve">Lēmums </w:t>
            </w:r>
            <w:hyperlink r:id="rId22" w:history="1">
              <w:r w:rsidRPr="006E14AC">
                <w:rPr>
                  <w:rFonts w:ascii="Times New Roman" w:eastAsia="Times New Roman" w:hAnsi="Times New Roman" w:cs="Times New Roman"/>
                  <w:sz w:val="24"/>
                  <w:szCs w:val="24"/>
                  <w:lang w:eastAsia="lv-LV"/>
                </w:rPr>
                <w:t>2010/368/ES</w:t>
              </w:r>
            </w:hyperlink>
            <w:r w:rsidRPr="006E14AC">
              <w:rPr>
                <w:rFonts w:ascii="Times New Roman" w:eastAsia="Times New Roman" w:hAnsi="Times New Roman" w:cs="Times New Roman"/>
                <w:sz w:val="24"/>
                <w:szCs w:val="24"/>
                <w:lang w:eastAsia="lv-LV"/>
              </w:rPr>
              <w:t>, ar ko izdara grozījumus Lēmumā </w:t>
            </w:r>
            <w:hyperlink r:id="rId23"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6E14AC" w:rsidRPr="006E14AC" w14:paraId="2BF6D717" w14:textId="77777777" w:rsidTr="00435CB6">
        <w:tc>
          <w:tcPr>
            <w:tcW w:w="846" w:type="dxa"/>
          </w:tcPr>
          <w:p w14:paraId="79616C43" w14:textId="5ABCB835"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14</w:t>
            </w:r>
            <w:r w:rsidRPr="006E14AC">
              <w:rPr>
                <w:rFonts w:ascii="Times New Roman" w:eastAsia="Times New Roman" w:hAnsi="Times New Roman" w:cs="Times New Roman"/>
                <w:sz w:val="24"/>
                <w:szCs w:val="24"/>
                <w:lang w:eastAsia="lv-LV"/>
              </w:rPr>
              <w:t>.</w:t>
            </w:r>
          </w:p>
        </w:tc>
        <w:tc>
          <w:tcPr>
            <w:tcW w:w="8215" w:type="dxa"/>
          </w:tcPr>
          <w:p w14:paraId="298344E5" w14:textId="1D3C2FC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jūlija </w:t>
            </w:r>
            <w:r w:rsidR="0071686D" w:rsidRPr="006E14AC">
              <w:rPr>
                <w:rFonts w:ascii="Times New Roman" w:eastAsia="Times New Roman" w:hAnsi="Times New Roman" w:cs="Times New Roman"/>
                <w:sz w:val="24"/>
                <w:szCs w:val="24"/>
                <w:lang w:eastAsia="lv-LV"/>
              </w:rPr>
              <w:t xml:space="preserve">Lēmums </w:t>
            </w:r>
            <w:hyperlink r:id="rId24" w:history="1">
              <w:r w:rsidRPr="006E14AC">
                <w:rPr>
                  <w:rFonts w:ascii="Times New Roman" w:eastAsia="Times New Roman" w:hAnsi="Times New Roman" w:cs="Times New Roman"/>
                  <w:sz w:val="24"/>
                  <w:szCs w:val="24"/>
                  <w:lang w:eastAsia="lv-LV"/>
                </w:rPr>
                <w:t>2011/485/E</w:t>
              </w:r>
            </w:hyperlink>
            <w:r w:rsidRPr="006E14AC">
              <w:rPr>
                <w:rFonts w:ascii="Times New Roman" w:eastAsia="Times New Roman" w:hAnsi="Times New Roman" w:cs="Times New Roman"/>
                <w:sz w:val="24"/>
                <w:szCs w:val="24"/>
                <w:lang w:eastAsia="lv-LV"/>
              </w:rPr>
              <w:t>U, ar ko izdara grozījumus lēmumā </w:t>
            </w:r>
            <w:hyperlink r:id="rId25"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par 24 GHz diapazona radiofrekvenču spektra joslas saskaņošanu automobiļu tuvdarbības radaru iekārtu lietojumā uz ierobežotu laiku Kopienā</w:t>
            </w:r>
          </w:p>
        </w:tc>
      </w:tr>
      <w:tr w:rsidR="006E14AC" w:rsidRPr="006E14AC" w14:paraId="663CA143" w14:textId="77777777" w:rsidTr="00435CB6">
        <w:tc>
          <w:tcPr>
            <w:tcW w:w="846" w:type="dxa"/>
          </w:tcPr>
          <w:p w14:paraId="37A6554A" w14:textId="14F39EE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15</w:t>
            </w:r>
            <w:r w:rsidRPr="006E14AC">
              <w:rPr>
                <w:rFonts w:ascii="Times New Roman" w:eastAsia="Times New Roman" w:hAnsi="Times New Roman" w:cs="Times New Roman"/>
                <w:sz w:val="24"/>
                <w:szCs w:val="24"/>
                <w:lang w:eastAsia="lv-LV"/>
              </w:rPr>
              <w:t>.</w:t>
            </w:r>
          </w:p>
        </w:tc>
        <w:tc>
          <w:tcPr>
            <w:tcW w:w="8215" w:type="dxa"/>
          </w:tcPr>
          <w:p w14:paraId="0322B9C0" w14:textId="4FAE8F3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decembra </w:t>
            </w:r>
            <w:r w:rsidRPr="006E14AC">
              <w:rPr>
                <w:rFonts w:ascii="Times New Roman" w:eastAsia="Times New Roman" w:hAnsi="Times New Roman" w:cs="Times New Roman"/>
                <w:sz w:val="24"/>
                <w:szCs w:val="24"/>
                <w:lang w:eastAsia="lv-LV"/>
              </w:rPr>
              <w:t xml:space="preserve">Lēmums </w:t>
            </w:r>
            <w:hyperlink r:id="rId26" w:history="1">
              <w:r w:rsidRPr="006E14AC">
                <w:rPr>
                  <w:rFonts w:ascii="Times New Roman" w:eastAsia="Times New Roman" w:hAnsi="Times New Roman" w:cs="Times New Roman"/>
                  <w:sz w:val="24"/>
                  <w:szCs w:val="24"/>
                  <w:lang w:eastAsia="lv-LV"/>
                </w:rPr>
                <w:t>2011/829/ES</w:t>
              </w:r>
            </w:hyperlink>
            <w:r w:rsidRPr="006E14AC">
              <w:rPr>
                <w:rFonts w:ascii="Times New Roman" w:eastAsia="Times New Roman" w:hAnsi="Times New Roman" w:cs="Times New Roman"/>
                <w:sz w:val="24"/>
                <w:szCs w:val="24"/>
                <w:lang w:eastAsia="lv-LV"/>
              </w:rPr>
              <w:t>, ar ko izdara grozījumus Lēmumā </w:t>
            </w:r>
            <w:hyperlink r:id="rId27"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6E14AC" w:rsidRPr="006E14AC" w14:paraId="582837F3" w14:textId="77777777" w:rsidTr="00435CB6">
        <w:tc>
          <w:tcPr>
            <w:tcW w:w="846" w:type="dxa"/>
          </w:tcPr>
          <w:p w14:paraId="3F036F1E" w14:textId="6123A8A2"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16</w:t>
            </w:r>
            <w:r w:rsidRPr="006E14AC">
              <w:rPr>
                <w:rFonts w:ascii="Times New Roman" w:eastAsia="Times New Roman" w:hAnsi="Times New Roman" w:cs="Times New Roman"/>
                <w:sz w:val="24"/>
                <w:szCs w:val="24"/>
                <w:lang w:eastAsia="lv-LV"/>
              </w:rPr>
              <w:t>.</w:t>
            </w:r>
          </w:p>
        </w:tc>
        <w:tc>
          <w:tcPr>
            <w:tcW w:w="8215" w:type="dxa"/>
          </w:tcPr>
          <w:p w14:paraId="01CAB256" w14:textId="56EB316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Lēmums </w:t>
            </w:r>
            <w:hyperlink r:id="rId28" w:history="1">
              <w:r w:rsidRPr="006E14AC">
                <w:rPr>
                  <w:rFonts w:ascii="Times New Roman" w:eastAsia="Times New Roman" w:hAnsi="Times New Roman" w:cs="Times New Roman"/>
                  <w:sz w:val="24"/>
                  <w:szCs w:val="24"/>
                  <w:lang w:eastAsia="lv-LV"/>
                </w:rPr>
                <w:t>2012/688/ES</w:t>
              </w:r>
            </w:hyperlink>
            <w:r w:rsidRPr="006E14AC">
              <w:rPr>
                <w:rFonts w:ascii="Times New Roman" w:eastAsia="Times New Roman" w:hAnsi="Times New Roman" w:cs="Times New Roman"/>
                <w:sz w:val="24"/>
                <w:szCs w:val="24"/>
                <w:lang w:eastAsia="lv-LV"/>
              </w:rPr>
              <w:t xml:space="preserve"> par 1920–1980 MHz un 2110–2170 MHz frekvenču joslu harmonizāciju tādu zemes sistēmu vajadzībām, kas Savienībā spēj nodrošināt elektronisko sakaru pakalpojumus</w:t>
            </w:r>
          </w:p>
        </w:tc>
      </w:tr>
      <w:tr w:rsidR="006E14AC" w:rsidRPr="006E14AC" w14:paraId="7AC00FC4" w14:textId="77777777" w:rsidTr="00435CB6">
        <w:tc>
          <w:tcPr>
            <w:tcW w:w="846" w:type="dxa"/>
          </w:tcPr>
          <w:p w14:paraId="19F753A7" w14:textId="300928D7"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17</w:t>
            </w:r>
            <w:r w:rsidRPr="006E14AC">
              <w:rPr>
                <w:rFonts w:ascii="Times New Roman" w:eastAsia="Times New Roman" w:hAnsi="Times New Roman" w:cs="Times New Roman"/>
                <w:sz w:val="24"/>
                <w:szCs w:val="24"/>
                <w:lang w:eastAsia="lv-LV"/>
              </w:rPr>
              <w:t>.</w:t>
            </w:r>
          </w:p>
        </w:tc>
        <w:tc>
          <w:tcPr>
            <w:tcW w:w="8215" w:type="dxa"/>
          </w:tcPr>
          <w:p w14:paraId="4050E723" w14:textId="6533187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Lēmums </w:t>
            </w:r>
            <w:hyperlink r:id="rId29"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xml:space="preserve"> par grozījumiem Lēmumā </w:t>
            </w:r>
            <w:hyperlink r:id="rId30"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iekļaujot papildu piekļuves tehnoloģijas un frekvenču joslas mobilo sakaru pakalpojumiem gaisa kuģos (MCA pakalpojumiem)</w:t>
            </w:r>
          </w:p>
        </w:tc>
      </w:tr>
      <w:tr w:rsidR="006E14AC" w:rsidRPr="006E14AC" w14:paraId="6E582E4B" w14:textId="77777777" w:rsidTr="00435CB6">
        <w:tc>
          <w:tcPr>
            <w:tcW w:w="846" w:type="dxa"/>
          </w:tcPr>
          <w:p w14:paraId="3529BB2E" w14:textId="6A709FB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w:t>
            </w:r>
          </w:p>
        </w:tc>
        <w:tc>
          <w:tcPr>
            <w:tcW w:w="8215" w:type="dxa"/>
          </w:tcPr>
          <w:p w14:paraId="1CFE999F" w14:textId="4C0B237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11</w:t>
            </w:r>
            <w:r w:rsidR="004A6E54" w:rsidRPr="006E14AC">
              <w:rPr>
                <w:rFonts w:ascii="Times New Roman" w:eastAsia="Times New Roman" w:hAnsi="Times New Roman" w:cs="Times New Roman"/>
                <w:sz w:val="24"/>
                <w:szCs w:val="24"/>
                <w:lang w:eastAsia="lv-LV"/>
              </w:rPr>
              <w:t xml:space="preserve">. decembra </w:t>
            </w:r>
            <w:r w:rsidRPr="006E14AC">
              <w:rPr>
                <w:rFonts w:ascii="Times New Roman" w:eastAsia="Times New Roman" w:hAnsi="Times New Roman" w:cs="Times New Roman"/>
                <w:sz w:val="24"/>
                <w:szCs w:val="24"/>
                <w:lang w:eastAsia="lv-LV"/>
              </w:rPr>
              <w:t xml:space="preserve">Lēmums </w:t>
            </w:r>
            <w:hyperlink r:id="rId31" w:history="1">
              <w:r w:rsidRPr="006E14AC">
                <w:rPr>
                  <w:rFonts w:ascii="Times New Roman" w:eastAsia="Times New Roman" w:hAnsi="Times New Roman" w:cs="Times New Roman"/>
                  <w:sz w:val="24"/>
                  <w:szCs w:val="24"/>
                  <w:lang w:eastAsia="lv-LV"/>
                </w:rPr>
                <w:t>2013/752/ES</w:t>
              </w:r>
            </w:hyperlink>
            <w:r w:rsidRPr="006E14AC">
              <w:rPr>
                <w:rFonts w:ascii="Times New Roman" w:eastAsia="Times New Roman" w:hAnsi="Times New Roman" w:cs="Times New Roman"/>
                <w:sz w:val="24"/>
                <w:szCs w:val="24"/>
                <w:lang w:eastAsia="lv-LV"/>
              </w:rPr>
              <w:t>, ar ko izdara grozījumus Lēmumā </w:t>
            </w:r>
            <w:hyperlink r:id="rId32"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 un Lēmuma </w:t>
            </w:r>
            <w:hyperlink r:id="rId33" w:history="1">
              <w:r w:rsidRPr="006E14AC">
                <w:rPr>
                  <w:rFonts w:ascii="Times New Roman" w:eastAsia="Times New Roman" w:hAnsi="Times New Roman" w:cs="Times New Roman"/>
                  <w:sz w:val="24"/>
                  <w:szCs w:val="24"/>
                  <w:lang w:eastAsia="lv-LV"/>
                </w:rPr>
                <w:t>2005/928/EK</w:t>
              </w:r>
            </w:hyperlink>
            <w:r w:rsidRPr="006E14AC">
              <w:rPr>
                <w:rFonts w:ascii="Times New Roman" w:eastAsia="Times New Roman" w:hAnsi="Times New Roman" w:cs="Times New Roman"/>
                <w:sz w:val="24"/>
                <w:szCs w:val="24"/>
                <w:lang w:eastAsia="lv-LV"/>
              </w:rPr>
              <w:t> atcelšanu</w:t>
            </w:r>
          </w:p>
        </w:tc>
      </w:tr>
      <w:tr w:rsidR="006E14AC" w:rsidRPr="006E14AC" w14:paraId="1116D188" w14:textId="77777777" w:rsidTr="00435CB6">
        <w:tc>
          <w:tcPr>
            <w:tcW w:w="846" w:type="dxa"/>
          </w:tcPr>
          <w:p w14:paraId="47F4E2AA" w14:textId="7DAC00A0"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19</w:t>
            </w:r>
            <w:r w:rsidRPr="006E14AC">
              <w:rPr>
                <w:rFonts w:ascii="Times New Roman" w:eastAsia="Times New Roman" w:hAnsi="Times New Roman" w:cs="Times New Roman"/>
                <w:sz w:val="24"/>
                <w:szCs w:val="24"/>
                <w:lang w:eastAsia="lv-LV"/>
              </w:rPr>
              <w:t>.</w:t>
            </w:r>
          </w:p>
        </w:tc>
        <w:tc>
          <w:tcPr>
            <w:tcW w:w="8215" w:type="dxa"/>
          </w:tcPr>
          <w:p w14:paraId="18A8717F" w14:textId="7899105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Īstenošanas lēmums </w:t>
            </w:r>
            <w:hyperlink r:id="rId34" w:history="1">
              <w:r w:rsidRPr="006E14AC">
                <w:rPr>
                  <w:rFonts w:ascii="Times New Roman" w:eastAsia="Times New Roman" w:hAnsi="Times New Roman" w:cs="Times New Roman"/>
                  <w:sz w:val="24"/>
                  <w:szCs w:val="24"/>
                  <w:lang w:eastAsia="lv-LV"/>
                </w:rPr>
                <w:t>2014/276/ES</w:t>
              </w:r>
            </w:hyperlink>
            <w:r w:rsidRPr="006E14AC">
              <w:rPr>
                <w:rFonts w:ascii="Times New Roman" w:eastAsia="Times New Roman" w:hAnsi="Times New Roman" w:cs="Times New Roman"/>
                <w:sz w:val="24"/>
                <w:szCs w:val="24"/>
                <w:lang w:eastAsia="lv-LV"/>
              </w:rPr>
              <w:t xml:space="preserve"> par grozījumiem Lēmumā </w:t>
            </w:r>
            <w:hyperlink r:id="rId35"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par 3400–3800 MHz frekvenču joslas harmonizāciju tādu zemes sistēmu vajadzībām, kas Kopienā spēj nodrošināt elektronisko sakaru pakalpojumus</w:t>
            </w:r>
          </w:p>
        </w:tc>
      </w:tr>
      <w:tr w:rsidR="006E14AC" w:rsidRPr="006E14AC" w14:paraId="363A16CC" w14:textId="77777777" w:rsidTr="00435CB6">
        <w:tc>
          <w:tcPr>
            <w:tcW w:w="846" w:type="dxa"/>
          </w:tcPr>
          <w:p w14:paraId="33711151" w14:textId="4AA0EF7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20</w:t>
            </w:r>
            <w:r w:rsidRPr="006E14AC">
              <w:rPr>
                <w:rFonts w:ascii="Times New Roman" w:eastAsia="Times New Roman" w:hAnsi="Times New Roman" w:cs="Times New Roman"/>
                <w:sz w:val="24"/>
                <w:szCs w:val="24"/>
                <w:lang w:eastAsia="lv-LV"/>
              </w:rPr>
              <w:t>.</w:t>
            </w:r>
          </w:p>
        </w:tc>
        <w:tc>
          <w:tcPr>
            <w:tcW w:w="8215" w:type="dxa"/>
          </w:tcPr>
          <w:p w14:paraId="13B23223" w14:textId="6A6B525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 xml:space="preserve">Lēmums </w:t>
            </w:r>
            <w:hyperlink r:id="rId36" w:history="1">
              <w:r w:rsidRPr="006E14AC">
                <w:rPr>
                  <w:rFonts w:ascii="Times New Roman" w:eastAsia="Times New Roman" w:hAnsi="Times New Roman" w:cs="Times New Roman"/>
                  <w:sz w:val="24"/>
                  <w:szCs w:val="24"/>
                  <w:lang w:eastAsia="lv-LV"/>
                </w:rPr>
                <w:t>2014/641/ES</w:t>
              </w:r>
            </w:hyperlink>
            <w:r w:rsidRPr="006E14AC">
              <w:rPr>
                <w:rFonts w:ascii="Times New Roman" w:eastAsia="Times New Roman" w:hAnsi="Times New Roman" w:cs="Times New Roman"/>
                <w:sz w:val="24"/>
                <w:szCs w:val="24"/>
                <w:lang w:eastAsia="lv-LV"/>
              </w:rPr>
              <w:t xml:space="preserve"> par harmonizētajiem tehniskajiem nosacījumiem radiofrekvenču spektra izmantošanai programmu gatavošanas un īpašo pasākumu bezvadu skaņas iekārtās Savienībā</w:t>
            </w:r>
          </w:p>
        </w:tc>
      </w:tr>
      <w:tr w:rsidR="006E14AC" w:rsidRPr="006E14AC" w14:paraId="66428208" w14:textId="77777777" w:rsidTr="00435CB6">
        <w:tc>
          <w:tcPr>
            <w:tcW w:w="846" w:type="dxa"/>
          </w:tcPr>
          <w:p w14:paraId="6D895EC8" w14:textId="1B0F6D18"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21</w:t>
            </w:r>
            <w:r w:rsidRPr="006E14AC">
              <w:rPr>
                <w:rFonts w:ascii="Times New Roman" w:eastAsia="Times New Roman" w:hAnsi="Times New Roman" w:cs="Times New Roman"/>
                <w:sz w:val="24"/>
                <w:szCs w:val="24"/>
                <w:lang w:eastAsia="lv-LV"/>
              </w:rPr>
              <w:t>.</w:t>
            </w:r>
          </w:p>
        </w:tc>
        <w:tc>
          <w:tcPr>
            <w:tcW w:w="8215" w:type="dxa"/>
          </w:tcPr>
          <w:p w14:paraId="4A061438" w14:textId="4FE7AD1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Īstenošanas lēmums (ES) 2015/750 par 1427–1517 MHz frekvenču joslas harmonizāciju tādu zemes sistēmu vajadzībām, kas Savienībā spēj nodrošināt elektronisko sakaru pakalpojumus</w:t>
            </w:r>
          </w:p>
        </w:tc>
      </w:tr>
      <w:tr w:rsidR="006E14AC" w:rsidRPr="006E14AC" w14:paraId="4552DE1D" w14:textId="77777777" w:rsidTr="00435CB6">
        <w:tc>
          <w:tcPr>
            <w:tcW w:w="846" w:type="dxa"/>
          </w:tcPr>
          <w:p w14:paraId="20835702" w14:textId="39D8E26C"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22</w:t>
            </w:r>
            <w:r w:rsidRPr="006E14AC">
              <w:rPr>
                <w:rFonts w:ascii="Times New Roman" w:eastAsia="Times New Roman" w:hAnsi="Times New Roman" w:cs="Times New Roman"/>
                <w:sz w:val="24"/>
                <w:szCs w:val="24"/>
                <w:lang w:eastAsia="lv-LV"/>
              </w:rPr>
              <w:t>.</w:t>
            </w:r>
          </w:p>
        </w:tc>
        <w:tc>
          <w:tcPr>
            <w:tcW w:w="8215" w:type="dxa"/>
          </w:tcPr>
          <w:p w14:paraId="69ADA2FE" w14:textId="233CAB44" w:rsidR="00CB699B" w:rsidRPr="006E14AC" w:rsidRDefault="004F13A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Ī</w:t>
            </w:r>
            <w:r w:rsidR="00076A2D" w:rsidRPr="006E14AC">
              <w:rPr>
                <w:rFonts w:ascii="Times New Roman" w:eastAsia="Times New Roman" w:hAnsi="Times New Roman" w:cs="Times New Roman"/>
                <w:sz w:val="24"/>
                <w:szCs w:val="24"/>
                <w:lang w:eastAsia="lv-LV"/>
              </w:rPr>
              <w:t xml:space="preserve">stenošanas lēmums </w:t>
            </w:r>
            <w:hyperlink r:id="rId37" w:history="1">
              <w:r w:rsidR="00076A2D" w:rsidRPr="006E14AC">
                <w:rPr>
                  <w:rFonts w:ascii="Times New Roman" w:eastAsia="Times New Roman" w:hAnsi="Times New Roman" w:cs="Times New Roman"/>
                  <w:sz w:val="24"/>
                  <w:szCs w:val="24"/>
                  <w:lang w:eastAsia="lv-LV"/>
                </w:rPr>
                <w:t>2016/339</w:t>
              </w:r>
            </w:hyperlink>
            <w:r w:rsidR="00076A2D" w:rsidRPr="006E14AC">
              <w:rPr>
                <w:rFonts w:ascii="Times New Roman" w:eastAsia="Times New Roman" w:hAnsi="Times New Roman" w:cs="Times New Roman"/>
                <w:sz w:val="24"/>
                <w:szCs w:val="24"/>
                <w:lang w:eastAsia="lv-LV"/>
              </w:rPr>
              <w:t xml:space="preserve"> par 2010–2025 MHz frekvenču joslas harmonizēšanu portatīvām vai mobilām bezvadu </w:t>
            </w:r>
            <w:proofErr w:type="spellStart"/>
            <w:r w:rsidR="00076A2D" w:rsidRPr="006E14AC">
              <w:rPr>
                <w:rFonts w:ascii="Times New Roman" w:eastAsia="Times New Roman" w:hAnsi="Times New Roman" w:cs="Times New Roman"/>
                <w:sz w:val="24"/>
                <w:szCs w:val="24"/>
                <w:lang w:eastAsia="lv-LV"/>
              </w:rPr>
              <w:t>videolīnijām</w:t>
            </w:r>
            <w:proofErr w:type="spellEnd"/>
            <w:r w:rsidR="00076A2D" w:rsidRPr="006E14AC">
              <w:rPr>
                <w:rFonts w:ascii="Times New Roman" w:eastAsia="Times New Roman" w:hAnsi="Times New Roman" w:cs="Times New Roman"/>
                <w:sz w:val="24"/>
                <w:szCs w:val="24"/>
                <w:lang w:eastAsia="lv-LV"/>
              </w:rPr>
              <w:t xml:space="preserve"> un bezvadu kamerām, ko izmanto programmu gatavošanai un īpašajiem pasākumiem</w:t>
            </w:r>
          </w:p>
        </w:tc>
      </w:tr>
      <w:tr w:rsidR="006E14AC" w:rsidRPr="006E14AC" w14:paraId="52596E87" w14:textId="77777777" w:rsidTr="00435CB6">
        <w:tc>
          <w:tcPr>
            <w:tcW w:w="846" w:type="dxa"/>
          </w:tcPr>
          <w:p w14:paraId="171FD155" w14:textId="5073259F"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23</w:t>
            </w:r>
            <w:r w:rsidRPr="006E14AC">
              <w:rPr>
                <w:rFonts w:ascii="Times New Roman" w:eastAsia="Times New Roman" w:hAnsi="Times New Roman" w:cs="Times New Roman"/>
                <w:sz w:val="24"/>
                <w:szCs w:val="24"/>
                <w:lang w:eastAsia="lv-LV"/>
              </w:rPr>
              <w:t>.</w:t>
            </w:r>
          </w:p>
        </w:tc>
        <w:tc>
          <w:tcPr>
            <w:tcW w:w="8215" w:type="dxa"/>
          </w:tcPr>
          <w:p w14:paraId="3AAE78B4" w14:textId="2FC4B9C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 xml:space="preserve">28. aprīļa Īstenošanas lēmums (ES) 2016/687 par 694–790 MHz frekvenču joslas harmonizāciju tādu zemes sistēmu vajadzībām, kas </w:t>
            </w:r>
            <w:r w:rsidRPr="006E14AC">
              <w:rPr>
                <w:rFonts w:ascii="Times New Roman" w:eastAsia="Times New Roman" w:hAnsi="Times New Roman" w:cs="Times New Roman"/>
                <w:sz w:val="24"/>
                <w:szCs w:val="24"/>
                <w:lang w:eastAsia="lv-LV"/>
              </w:rPr>
              <w:lastRenderedPageBreak/>
              <w:t>Savienībā spēj sniegt bezvadu platjoslas elektronisko sakaru pakalpojumus, un elastīgai nacionālai izmantošanai</w:t>
            </w:r>
          </w:p>
        </w:tc>
      </w:tr>
      <w:tr w:rsidR="006E14AC" w:rsidRPr="006E14AC" w14:paraId="047134AE" w14:textId="77777777" w:rsidTr="00435CB6">
        <w:tc>
          <w:tcPr>
            <w:tcW w:w="846" w:type="dxa"/>
          </w:tcPr>
          <w:p w14:paraId="4BF2026A" w14:textId="6C771D2D"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w:t>
            </w:r>
            <w:r w:rsidR="00A36569" w:rsidRPr="006E14AC">
              <w:rPr>
                <w:rFonts w:ascii="Times New Roman" w:eastAsia="Times New Roman" w:hAnsi="Times New Roman" w:cs="Times New Roman"/>
                <w:sz w:val="24"/>
                <w:szCs w:val="24"/>
                <w:lang w:eastAsia="lv-LV"/>
              </w:rPr>
              <w:t>24</w:t>
            </w:r>
            <w:r w:rsidRPr="006E14AC">
              <w:rPr>
                <w:rFonts w:ascii="Times New Roman" w:eastAsia="Times New Roman" w:hAnsi="Times New Roman" w:cs="Times New Roman"/>
                <w:sz w:val="24"/>
                <w:szCs w:val="24"/>
                <w:lang w:eastAsia="lv-LV"/>
              </w:rPr>
              <w:t>.</w:t>
            </w:r>
          </w:p>
        </w:tc>
        <w:tc>
          <w:tcPr>
            <w:tcW w:w="8215" w:type="dxa"/>
          </w:tcPr>
          <w:p w14:paraId="1E538064" w14:textId="525B9E8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16</w:t>
            </w:r>
            <w:r w:rsidR="004A6E54" w:rsidRPr="006E14AC">
              <w:rPr>
                <w:rFonts w:ascii="Times New Roman" w:eastAsia="Times New Roman" w:hAnsi="Times New Roman" w:cs="Times New Roman"/>
                <w:sz w:val="24"/>
                <w:szCs w:val="24"/>
                <w:lang w:eastAsia="lv-LV"/>
              </w:rPr>
              <w:t xml:space="preserve">. decembra </w:t>
            </w:r>
            <w:r w:rsidRPr="006E14AC">
              <w:rPr>
                <w:rFonts w:ascii="Times New Roman" w:eastAsia="Times New Roman" w:hAnsi="Times New Roman" w:cs="Times New Roman"/>
                <w:sz w:val="24"/>
                <w:szCs w:val="24"/>
                <w:lang w:eastAsia="lv-LV"/>
              </w:rPr>
              <w:t xml:space="preserve">Īstenošanas lēmums (ES) 2016/2317, ar ko groza Komisijas Lēmumu </w:t>
            </w:r>
            <w:hyperlink r:id="rId38"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un Komisijas Īstenošanas lēmumu </w:t>
            </w:r>
            <w:hyperlink r:id="rId39"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lai vienkāršotu mobilo sakaru darbību gaisa kuģos (MCA pakalpojumus) Savienībā</w:t>
            </w:r>
          </w:p>
        </w:tc>
      </w:tr>
      <w:tr w:rsidR="006E14AC" w:rsidRPr="006E14AC" w14:paraId="3EE677CE" w14:textId="77777777" w:rsidTr="00435CB6">
        <w:tc>
          <w:tcPr>
            <w:tcW w:w="846" w:type="dxa"/>
          </w:tcPr>
          <w:p w14:paraId="05FE9B1B" w14:textId="30A72E13"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25</w:t>
            </w:r>
            <w:r w:rsidRPr="006E14AC">
              <w:rPr>
                <w:rFonts w:ascii="Times New Roman" w:eastAsia="Times New Roman" w:hAnsi="Times New Roman" w:cs="Times New Roman"/>
                <w:sz w:val="24"/>
                <w:szCs w:val="24"/>
                <w:lang w:eastAsia="lv-LV"/>
              </w:rPr>
              <w:t>.</w:t>
            </w:r>
          </w:p>
        </w:tc>
        <w:tc>
          <w:tcPr>
            <w:tcW w:w="8215" w:type="dxa"/>
          </w:tcPr>
          <w:p w14:paraId="13910E83" w14:textId="61A6391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 xml:space="preserve">Īstenošanas lēmums (ES) 2017/191, ar ko groza Lēmumu </w:t>
            </w:r>
            <w:hyperlink r:id="rId40" w:history="1">
              <w:r w:rsidRPr="006E14AC">
                <w:rPr>
                  <w:rFonts w:ascii="Times New Roman" w:eastAsia="Times New Roman" w:hAnsi="Times New Roman" w:cs="Times New Roman"/>
                  <w:sz w:val="24"/>
                  <w:szCs w:val="24"/>
                  <w:lang w:eastAsia="lv-LV"/>
                </w:rPr>
                <w:t>2010/166/ES</w:t>
              </w:r>
            </w:hyperlink>
            <w:r w:rsidRPr="006E14AC">
              <w:rPr>
                <w:rFonts w:ascii="Times New Roman" w:eastAsia="Times New Roman" w:hAnsi="Times New Roman" w:cs="Times New Roman"/>
                <w:sz w:val="24"/>
                <w:szCs w:val="24"/>
                <w:lang w:eastAsia="lv-LV"/>
              </w:rPr>
              <w:t>, ieviešot jaunas tehnoloģijas un frekvenču joslas mobilo sakaru pakalpojumiem kuģos (MCV pakalpojumiem) Eiropas Savienībā</w:t>
            </w:r>
          </w:p>
        </w:tc>
      </w:tr>
      <w:tr w:rsidR="006E14AC" w:rsidRPr="006E14AC" w14:paraId="5002DD67" w14:textId="77777777" w:rsidTr="00435CB6">
        <w:tc>
          <w:tcPr>
            <w:tcW w:w="846" w:type="dxa"/>
          </w:tcPr>
          <w:p w14:paraId="2A8EE6DD" w14:textId="189F69F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26</w:t>
            </w:r>
            <w:r w:rsidRPr="006E14AC">
              <w:rPr>
                <w:rFonts w:ascii="Times New Roman" w:eastAsia="Times New Roman" w:hAnsi="Times New Roman" w:cs="Times New Roman"/>
                <w:sz w:val="24"/>
                <w:szCs w:val="24"/>
                <w:lang w:eastAsia="lv-LV"/>
              </w:rPr>
              <w:t>.</w:t>
            </w:r>
          </w:p>
        </w:tc>
        <w:tc>
          <w:tcPr>
            <w:tcW w:w="8215" w:type="dxa"/>
          </w:tcPr>
          <w:p w14:paraId="473B7BA2" w14:textId="6DC9CC9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Lēmums (ES) 2017/899 par 470–790 MHz frekvenču joslas izmantošanu Savienībā</w:t>
            </w:r>
          </w:p>
        </w:tc>
      </w:tr>
      <w:tr w:rsidR="006E14AC" w:rsidRPr="006E14AC" w14:paraId="6EEDE729" w14:textId="77777777" w:rsidTr="00435CB6">
        <w:tc>
          <w:tcPr>
            <w:tcW w:w="846" w:type="dxa"/>
          </w:tcPr>
          <w:p w14:paraId="18F4934F" w14:textId="36B010A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27</w:t>
            </w:r>
            <w:r w:rsidRPr="006E14AC">
              <w:rPr>
                <w:rFonts w:ascii="Times New Roman" w:eastAsia="Times New Roman" w:hAnsi="Times New Roman" w:cs="Times New Roman"/>
                <w:sz w:val="24"/>
                <w:szCs w:val="24"/>
                <w:lang w:eastAsia="lv-LV"/>
              </w:rPr>
              <w:t>.</w:t>
            </w:r>
          </w:p>
        </w:tc>
        <w:tc>
          <w:tcPr>
            <w:tcW w:w="8215" w:type="dxa"/>
          </w:tcPr>
          <w:p w14:paraId="79C3FDD6" w14:textId="698321BF"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augusta </w:t>
            </w:r>
            <w:r w:rsidR="00CC6D5F" w:rsidRPr="006E14AC">
              <w:rPr>
                <w:rFonts w:ascii="Times New Roman" w:eastAsia="Times New Roman" w:hAnsi="Times New Roman" w:cs="Times New Roman"/>
                <w:sz w:val="24"/>
                <w:szCs w:val="24"/>
                <w:lang w:eastAsia="lv-LV"/>
              </w:rPr>
              <w:t xml:space="preserve">Īstenošanas </w:t>
            </w:r>
            <w:r w:rsidR="0071686D" w:rsidRPr="006E14AC">
              <w:rPr>
                <w:rFonts w:ascii="Times New Roman" w:eastAsia="Times New Roman" w:hAnsi="Times New Roman" w:cs="Times New Roman"/>
                <w:sz w:val="24"/>
                <w:szCs w:val="24"/>
                <w:lang w:eastAsia="lv-LV"/>
              </w:rPr>
              <w:t>l</w:t>
            </w:r>
            <w:r w:rsidRPr="006E14AC">
              <w:rPr>
                <w:rFonts w:ascii="Times New Roman" w:eastAsia="Times New Roman" w:hAnsi="Times New Roman" w:cs="Times New Roman"/>
                <w:sz w:val="24"/>
                <w:szCs w:val="24"/>
                <w:lang w:eastAsia="lv-LV"/>
              </w:rPr>
              <w:t xml:space="preserve">ēmums </w:t>
            </w:r>
            <w:hyperlink r:id="rId41" w:history="1">
              <w:r w:rsidRPr="006E14AC">
                <w:rPr>
                  <w:rFonts w:ascii="Times New Roman" w:eastAsia="Times New Roman" w:hAnsi="Times New Roman" w:cs="Times New Roman"/>
                  <w:sz w:val="24"/>
                  <w:szCs w:val="24"/>
                  <w:lang w:eastAsia="lv-LV"/>
                </w:rPr>
                <w:t>2017/1483/EK</w:t>
              </w:r>
            </w:hyperlink>
            <w:r w:rsidR="00354AB5" w:rsidRPr="006E14AC">
              <w:rPr>
                <w:rFonts w:ascii="Times New Roman" w:eastAsia="Times New Roman" w:hAnsi="Times New Roman" w:cs="Times New Roman"/>
                <w:sz w:val="24"/>
                <w:szCs w:val="24"/>
                <w:lang w:eastAsia="lv-LV"/>
              </w:rPr>
              <w:t xml:space="preserve"> </w:t>
            </w:r>
            <w:r w:rsidR="00103AF5" w:rsidRPr="006E14AC">
              <w:rPr>
                <w:rFonts w:ascii="Times New Roman" w:eastAsia="Times New Roman" w:hAnsi="Times New Roman" w:cs="Times New Roman"/>
                <w:sz w:val="24"/>
                <w:szCs w:val="24"/>
                <w:lang w:eastAsia="lv-LV"/>
              </w:rPr>
              <w:t>par Lēmuma 2006/771/EK par maza darbības attāluma ierīcēs izmantotā radiofrekvenču spektra saskaņošanu grozījumiem un Lēmuma 2006/804/EK atcelšanu</w:t>
            </w:r>
          </w:p>
        </w:tc>
      </w:tr>
      <w:tr w:rsidR="006E14AC" w:rsidRPr="006E14AC" w14:paraId="21ECC68F" w14:textId="77777777" w:rsidTr="00435CB6">
        <w:tc>
          <w:tcPr>
            <w:tcW w:w="846" w:type="dxa"/>
          </w:tcPr>
          <w:p w14:paraId="37CA09CE" w14:textId="2F63A368"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28</w:t>
            </w:r>
            <w:r w:rsidRPr="006E14AC">
              <w:rPr>
                <w:rFonts w:ascii="Times New Roman" w:eastAsia="Times New Roman" w:hAnsi="Times New Roman" w:cs="Times New Roman"/>
                <w:sz w:val="24"/>
                <w:szCs w:val="24"/>
                <w:lang w:eastAsia="lv-LV"/>
              </w:rPr>
              <w:t>.</w:t>
            </w:r>
          </w:p>
        </w:tc>
        <w:tc>
          <w:tcPr>
            <w:tcW w:w="8215" w:type="dxa"/>
          </w:tcPr>
          <w:p w14:paraId="5CE6EBB1" w14:textId="0661585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Īstenošanas lēmums 2017/2077/ES par grozījumiem Lēmumā </w:t>
            </w:r>
            <w:hyperlink r:id="rId42"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tuvdarbības radaru iekārtu lietojumā uz ierobežotu laiku Kopienā</w:t>
            </w:r>
          </w:p>
        </w:tc>
      </w:tr>
      <w:tr w:rsidR="006E14AC" w:rsidRPr="006E14AC" w14:paraId="76501B60" w14:textId="77777777" w:rsidTr="00435CB6">
        <w:tc>
          <w:tcPr>
            <w:tcW w:w="846" w:type="dxa"/>
          </w:tcPr>
          <w:p w14:paraId="138A2CF3" w14:textId="1C80A54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29</w:t>
            </w:r>
            <w:r w:rsidRPr="006E14AC">
              <w:rPr>
                <w:rFonts w:ascii="Times New Roman" w:eastAsia="Times New Roman" w:hAnsi="Times New Roman" w:cs="Times New Roman"/>
                <w:sz w:val="24"/>
                <w:szCs w:val="24"/>
                <w:lang w:eastAsia="lv-LV"/>
              </w:rPr>
              <w:t>.</w:t>
            </w:r>
          </w:p>
        </w:tc>
        <w:tc>
          <w:tcPr>
            <w:tcW w:w="8215" w:type="dxa"/>
          </w:tcPr>
          <w:p w14:paraId="36EB2751" w14:textId="4349EFB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26. aprīļa Īstenošanas lēmums (ES) 2018/661, ar ko Īstenošanas lēmumu (ES) 2015/750 par 1452–1492 MHz frekvenču joslas harmonizāciju tādu zemes sistēmu vajadzībām, kas Savienībā spēj nodrošināt elektronisko sakaru pakalpojumus, groza, to attiecinot arī uz harmonizēto 1427–</w:t>
            </w:r>
            <w:r w:rsidR="00103AF5" w:rsidRPr="006E14AC">
              <w:rPr>
                <w:rFonts w:ascii="Times New Roman" w:eastAsia="Times New Roman" w:hAnsi="Times New Roman" w:cs="Times New Roman"/>
                <w:sz w:val="24"/>
                <w:szCs w:val="24"/>
                <w:lang w:eastAsia="lv-LV"/>
              </w:rPr>
              <w:t>1452</w:t>
            </w:r>
            <w:r w:rsidRPr="006E14AC">
              <w:rPr>
                <w:rFonts w:ascii="Times New Roman" w:eastAsia="Times New Roman" w:hAnsi="Times New Roman" w:cs="Times New Roman"/>
                <w:sz w:val="24"/>
                <w:szCs w:val="24"/>
                <w:lang w:eastAsia="lv-LV"/>
              </w:rPr>
              <w:t> MHz un 1492–1517 MHz frekvenču joslu</w:t>
            </w:r>
          </w:p>
        </w:tc>
      </w:tr>
      <w:tr w:rsidR="006E14AC" w:rsidRPr="006E14AC" w14:paraId="6DFF01DE" w14:textId="77777777" w:rsidTr="00435CB6">
        <w:tc>
          <w:tcPr>
            <w:tcW w:w="846" w:type="dxa"/>
          </w:tcPr>
          <w:p w14:paraId="7A37209E" w14:textId="0E5135C4"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30</w:t>
            </w:r>
            <w:r w:rsidRPr="006E14AC">
              <w:rPr>
                <w:rFonts w:ascii="Times New Roman" w:eastAsia="Times New Roman" w:hAnsi="Times New Roman" w:cs="Times New Roman"/>
                <w:sz w:val="24"/>
                <w:szCs w:val="24"/>
                <w:lang w:eastAsia="lv-LV"/>
              </w:rPr>
              <w:t>.</w:t>
            </w:r>
          </w:p>
        </w:tc>
        <w:tc>
          <w:tcPr>
            <w:tcW w:w="8215" w:type="dxa"/>
          </w:tcPr>
          <w:p w14:paraId="2FEB3939" w14:textId="6A02D84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11</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Īstenošanas lēmums (ES) </w:t>
            </w:r>
            <w:hyperlink r:id="rId43" w:history="1">
              <w:r w:rsidRPr="006E14AC">
                <w:rPr>
                  <w:rFonts w:ascii="Times New Roman" w:eastAsia="Times New Roman" w:hAnsi="Times New Roman" w:cs="Times New Roman"/>
                  <w:sz w:val="24"/>
                  <w:szCs w:val="24"/>
                  <w:lang w:eastAsia="lv-LV"/>
                </w:rPr>
                <w:t>2018/1538</w:t>
              </w:r>
            </w:hyperlink>
            <w:r w:rsidRPr="006E14AC">
              <w:rPr>
                <w:rFonts w:ascii="Times New Roman" w:eastAsia="Times New Roman" w:hAnsi="Times New Roman" w:cs="Times New Roman"/>
                <w:sz w:val="24"/>
                <w:szCs w:val="24"/>
                <w:lang w:eastAsia="lv-LV"/>
              </w:rPr>
              <w:t xml:space="preserve"> par radiofrekvenču spektra harmonizēšanu izmantošanai maza darbības attāluma ierīcēm 874–876 un 915–921 MHz frekvenču joslās</w:t>
            </w:r>
          </w:p>
        </w:tc>
      </w:tr>
      <w:tr w:rsidR="006E14AC" w:rsidRPr="006E14AC" w14:paraId="5454DB13" w14:textId="77777777" w:rsidTr="00435CB6">
        <w:tc>
          <w:tcPr>
            <w:tcW w:w="846" w:type="dxa"/>
          </w:tcPr>
          <w:p w14:paraId="6AF78A65" w14:textId="5C8850AE"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31</w:t>
            </w:r>
            <w:r w:rsidRPr="006E14AC">
              <w:rPr>
                <w:rFonts w:ascii="Times New Roman" w:eastAsia="Times New Roman" w:hAnsi="Times New Roman" w:cs="Times New Roman"/>
                <w:sz w:val="24"/>
                <w:szCs w:val="24"/>
                <w:lang w:eastAsia="lv-LV"/>
              </w:rPr>
              <w:t>.</w:t>
            </w:r>
          </w:p>
        </w:tc>
        <w:tc>
          <w:tcPr>
            <w:tcW w:w="8215" w:type="dxa"/>
          </w:tcPr>
          <w:p w14:paraId="3585427F" w14:textId="25E14F2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 xml:space="preserve">Īstenošanas lēmums (ES) 2019/235 par Lēmuma </w:t>
            </w:r>
            <w:hyperlink r:id="rId44"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grozīšanu attiecībā uz atjauninājumiem 3400–3800 MHz frekvenču joslā piemērojamos attiecīgajos tehniskajos nosacījumos</w:t>
            </w:r>
          </w:p>
        </w:tc>
      </w:tr>
      <w:tr w:rsidR="006E14AC" w:rsidRPr="006E14AC" w14:paraId="272B150D" w14:textId="77777777" w:rsidTr="00435CB6">
        <w:tc>
          <w:tcPr>
            <w:tcW w:w="846" w:type="dxa"/>
          </w:tcPr>
          <w:p w14:paraId="5665590B" w14:textId="748C110E"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32</w:t>
            </w:r>
            <w:r w:rsidRPr="006E14AC">
              <w:rPr>
                <w:rFonts w:ascii="Times New Roman" w:eastAsia="Times New Roman" w:hAnsi="Times New Roman" w:cs="Times New Roman"/>
                <w:sz w:val="24"/>
                <w:szCs w:val="24"/>
                <w:lang w:eastAsia="lv-LV"/>
              </w:rPr>
              <w:t>.</w:t>
            </w:r>
          </w:p>
        </w:tc>
        <w:tc>
          <w:tcPr>
            <w:tcW w:w="8215" w:type="dxa"/>
          </w:tcPr>
          <w:p w14:paraId="0915DF7B" w14:textId="1710AF4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Īstenošanas lēmums (ES) 2019/784 par 24,25–27,5 GHz frekvenču joslas harmonizāciju tādu zemes sistēmu vajadzībām, kas Savienībā spēj nodrošināt bezvadu platjoslas elektronisko sakaru pakalpojumus</w:t>
            </w:r>
          </w:p>
        </w:tc>
      </w:tr>
      <w:tr w:rsidR="006E14AC" w:rsidRPr="006E14AC" w14:paraId="16C0A1CF" w14:textId="77777777" w:rsidTr="00435CB6">
        <w:tc>
          <w:tcPr>
            <w:tcW w:w="846" w:type="dxa"/>
          </w:tcPr>
          <w:p w14:paraId="3AD3635F" w14:textId="3C772ADD"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33</w:t>
            </w:r>
            <w:r w:rsidRPr="006E14AC">
              <w:rPr>
                <w:rFonts w:ascii="Times New Roman" w:eastAsia="Times New Roman" w:hAnsi="Times New Roman" w:cs="Times New Roman"/>
                <w:sz w:val="24"/>
                <w:szCs w:val="24"/>
                <w:lang w:eastAsia="lv-LV"/>
              </w:rPr>
              <w:t>.</w:t>
            </w:r>
          </w:p>
        </w:tc>
        <w:tc>
          <w:tcPr>
            <w:tcW w:w="8215" w:type="dxa"/>
          </w:tcPr>
          <w:p w14:paraId="5A981092" w14:textId="710562C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Īstenošanas lēmums (ES) 2019/785 par radiofrekvenču spektra harmonizēšanu Savienībā iekārtām, kurās izmanto </w:t>
            </w:r>
            <w:proofErr w:type="spellStart"/>
            <w:r w:rsidRPr="006E14AC">
              <w:rPr>
                <w:rFonts w:ascii="Times New Roman" w:eastAsia="Times New Roman" w:hAnsi="Times New Roman" w:cs="Times New Roman"/>
                <w:sz w:val="24"/>
                <w:szCs w:val="24"/>
                <w:lang w:eastAsia="lv-LV"/>
              </w:rPr>
              <w:t>ultraplatjoslas</w:t>
            </w:r>
            <w:proofErr w:type="spellEnd"/>
            <w:r w:rsidRPr="006E14AC">
              <w:rPr>
                <w:rFonts w:ascii="Times New Roman" w:eastAsia="Times New Roman" w:hAnsi="Times New Roman" w:cs="Times New Roman"/>
                <w:sz w:val="24"/>
                <w:szCs w:val="24"/>
                <w:lang w:eastAsia="lv-LV"/>
              </w:rPr>
              <w:t xml:space="preserve"> tehnoloģiju, </w:t>
            </w:r>
            <w:r w:rsidR="00CB699B" w:rsidRPr="006E14AC">
              <w:rPr>
                <w:rFonts w:ascii="Times New Roman" w:eastAsia="Times New Roman" w:hAnsi="Times New Roman" w:cs="Times New Roman"/>
                <w:sz w:val="24"/>
                <w:szCs w:val="24"/>
                <w:lang w:eastAsia="lv-LV"/>
              </w:rPr>
              <w:t>un Lēmuma 2007/131/EK atcelšanu</w:t>
            </w:r>
          </w:p>
        </w:tc>
      </w:tr>
      <w:tr w:rsidR="006E14AC" w:rsidRPr="006E14AC" w14:paraId="291A981E" w14:textId="77777777" w:rsidTr="00435CB6">
        <w:tc>
          <w:tcPr>
            <w:tcW w:w="846" w:type="dxa"/>
          </w:tcPr>
          <w:p w14:paraId="770C43D5" w14:textId="42B445F7"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34</w:t>
            </w:r>
            <w:r w:rsidRPr="006E14AC">
              <w:rPr>
                <w:rFonts w:ascii="Times New Roman" w:eastAsia="Times New Roman" w:hAnsi="Times New Roman" w:cs="Times New Roman"/>
                <w:sz w:val="24"/>
                <w:szCs w:val="24"/>
                <w:lang w:eastAsia="lv-LV"/>
              </w:rPr>
              <w:t>.</w:t>
            </w:r>
          </w:p>
        </w:tc>
        <w:tc>
          <w:tcPr>
            <w:tcW w:w="8215" w:type="dxa"/>
          </w:tcPr>
          <w:p w14:paraId="2C934714" w14:textId="7CFF189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Komisijas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augusta </w:t>
            </w:r>
            <w:r w:rsidRPr="006E14AC">
              <w:rPr>
                <w:rFonts w:ascii="Times New Roman" w:eastAsia="Times New Roman" w:hAnsi="Times New Roman" w:cs="Times New Roman"/>
                <w:sz w:val="24"/>
                <w:szCs w:val="24"/>
                <w:lang w:eastAsia="lv-LV"/>
              </w:rPr>
              <w:t xml:space="preserve">Īstenošanas lēmums (ES) 2019/1345, kas groza Lēmumu </w:t>
            </w:r>
            <w:hyperlink r:id="rId45"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atjauninot harmonizētos tehniskos noteikumus radiofrekvenču spektra izmantošanai maza darbības attāluma ierīcēs</w:t>
            </w:r>
          </w:p>
        </w:tc>
      </w:tr>
      <w:tr w:rsidR="006E14AC" w:rsidRPr="006E14AC" w14:paraId="6A7667C2" w14:textId="77777777" w:rsidTr="00435CB6">
        <w:tc>
          <w:tcPr>
            <w:tcW w:w="846" w:type="dxa"/>
          </w:tcPr>
          <w:p w14:paraId="7C4A862B" w14:textId="18ECDADE"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35</w:t>
            </w:r>
            <w:r w:rsidRPr="006E14AC">
              <w:rPr>
                <w:rFonts w:ascii="Times New Roman" w:eastAsia="Times New Roman" w:hAnsi="Times New Roman" w:cs="Times New Roman"/>
                <w:sz w:val="24"/>
                <w:szCs w:val="24"/>
                <w:lang w:eastAsia="lv-LV"/>
              </w:rPr>
              <w:t>.</w:t>
            </w:r>
          </w:p>
        </w:tc>
        <w:tc>
          <w:tcPr>
            <w:tcW w:w="8215" w:type="dxa"/>
          </w:tcPr>
          <w:p w14:paraId="520A2691" w14:textId="0F7F752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 aprīļa Īstenošanas lēmums (ES) 2020/590, ar ko Lēmumu (ES) 2019/784 groza, lai atjauninātu attiecīgos tehniskos nosacījumus, kas piemērojami 24,25–27,5 GHz frekvenču joslai</w:t>
            </w:r>
          </w:p>
        </w:tc>
      </w:tr>
      <w:tr w:rsidR="006E14AC" w:rsidRPr="006E14AC" w14:paraId="311E3660" w14:textId="77777777" w:rsidTr="00435CB6">
        <w:tc>
          <w:tcPr>
            <w:tcW w:w="846" w:type="dxa"/>
          </w:tcPr>
          <w:p w14:paraId="5B776A92" w14:textId="51952AB9"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36</w:t>
            </w:r>
            <w:r w:rsidRPr="006E14AC">
              <w:rPr>
                <w:rFonts w:ascii="Times New Roman" w:eastAsia="Times New Roman" w:hAnsi="Times New Roman" w:cs="Times New Roman"/>
                <w:sz w:val="24"/>
                <w:szCs w:val="24"/>
                <w:lang w:eastAsia="lv-LV"/>
              </w:rPr>
              <w:t>.</w:t>
            </w:r>
          </w:p>
        </w:tc>
        <w:tc>
          <w:tcPr>
            <w:tcW w:w="8215" w:type="dxa"/>
          </w:tcPr>
          <w:p w14:paraId="0F404EDD" w14:textId="05A578D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Īstenošanas lēmums (ES) 2020/667, ar ko groza Lēmumu (ES) 2012/688/ES, atjauninot attiecīgos tehniskos nosacījumus, kas piemērojami 1 920–1 980 MHz un 2110–2170 MHz frekvenču joslām</w:t>
            </w:r>
          </w:p>
        </w:tc>
      </w:tr>
      <w:tr w:rsidR="006E14AC" w:rsidRPr="006E14AC" w14:paraId="47AE71F3" w14:textId="77777777" w:rsidTr="00435CB6">
        <w:tc>
          <w:tcPr>
            <w:tcW w:w="846" w:type="dxa"/>
          </w:tcPr>
          <w:p w14:paraId="6F18BC4A" w14:textId="6294DE43"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w:t>
            </w:r>
            <w:r w:rsidR="00A36569" w:rsidRPr="006E14AC">
              <w:rPr>
                <w:rFonts w:ascii="Times New Roman" w:eastAsia="Times New Roman" w:hAnsi="Times New Roman" w:cs="Times New Roman"/>
                <w:sz w:val="24"/>
                <w:szCs w:val="24"/>
                <w:lang w:eastAsia="lv-LV"/>
              </w:rPr>
              <w:t>37</w:t>
            </w:r>
            <w:r w:rsidRPr="006E14AC">
              <w:rPr>
                <w:rFonts w:ascii="Times New Roman" w:eastAsia="Times New Roman" w:hAnsi="Times New Roman" w:cs="Times New Roman"/>
                <w:sz w:val="24"/>
                <w:szCs w:val="24"/>
                <w:lang w:eastAsia="lv-LV"/>
              </w:rPr>
              <w:t>.</w:t>
            </w:r>
          </w:p>
        </w:tc>
        <w:tc>
          <w:tcPr>
            <w:tcW w:w="8215" w:type="dxa"/>
          </w:tcPr>
          <w:p w14:paraId="22FC64A9" w14:textId="66B2989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35CB6" w:rsidRPr="006E14AC">
              <w:rPr>
                <w:rFonts w:ascii="Times New Roman" w:eastAsia="Times New Roman" w:hAnsi="Times New Roman" w:cs="Times New Roman"/>
                <w:sz w:val="24"/>
                <w:szCs w:val="24"/>
                <w:lang w:eastAsia="lv-LV"/>
              </w:rPr>
              <w:t>. </w:t>
            </w:r>
            <w:r w:rsidR="004A6E54" w:rsidRPr="006E14AC">
              <w:rPr>
                <w:rFonts w:ascii="Times New Roman" w:eastAsia="Times New Roman" w:hAnsi="Times New Roman" w:cs="Times New Roman"/>
                <w:sz w:val="24"/>
                <w:szCs w:val="24"/>
                <w:lang w:eastAsia="lv-LV"/>
              </w:rPr>
              <w:t xml:space="preserve">maija </w:t>
            </w:r>
            <w:r w:rsidRPr="006E14AC">
              <w:rPr>
                <w:rFonts w:ascii="Times New Roman" w:eastAsia="Times New Roman" w:hAnsi="Times New Roman" w:cs="Times New Roman"/>
                <w:sz w:val="24"/>
                <w:szCs w:val="24"/>
                <w:lang w:eastAsia="lv-LV"/>
              </w:rPr>
              <w:t>Īstenošanas lēmums (ES) 2020/636, ar ko Lēmumu 2008/477/EK groza, lai atjauninātu attiecīgos tehniskos nosacījumus, kas piemērojami 2500–2690 MHz frekvenču joslai</w:t>
            </w:r>
          </w:p>
        </w:tc>
      </w:tr>
      <w:tr w:rsidR="006E14AC" w:rsidRPr="006E14AC" w14:paraId="4530B868" w14:textId="77777777" w:rsidTr="00435CB6">
        <w:tc>
          <w:tcPr>
            <w:tcW w:w="846" w:type="dxa"/>
          </w:tcPr>
          <w:p w14:paraId="0A5646DB" w14:textId="041F8F2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38</w:t>
            </w:r>
            <w:r w:rsidRPr="006E14AC">
              <w:rPr>
                <w:rFonts w:ascii="Times New Roman" w:eastAsia="Times New Roman" w:hAnsi="Times New Roman" w:cs="Times New Roman"/>
                <w:sz w:val="24"/>
                <w:szCs w:val="24"/>
                <w:lang w:eastAsia="lv-LV"/>
              </w:rPr>
              <w:t>.</w:t>
            </w:r>
          </w:p>
        </w:tc>
        <w:tc>
          <w:tcPr>
            <w:tcW w:w="8215" w:type="dxa"/>
          </w:tcPr>
          <w:p w14:paraId="2AE8EF4A" w14:textId="7398DE7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 xml:space="preserve">Īstenošanas lēmuma (ES) 2020/1426 par radiofrekvenču spektra saskaņotu izmantošanu 5875–5935 MHz frekvenču joslā ar drošību saistītiem </w:t>
            </w:r>
            <w:proofErr w:type="spellStart"/>
            <w:r w:rsidRPr="006E14AC">
              <w:rPr>
                <w:rFonts w:ascii="Times New Roman" w:eastAsia="Times New Roman" w:hAnsi="Times New Roman" w:cs="Times New Roman"/>
                <w:sz w:val="24"/>
                <w:szCs w:val="24"/>
                <w:lang w:eastAsia="lv-LV"/>
              </w:rPr>
              <w:t>intelektisko</w:t>
            </w:r>
            <w:proofErr w:type="spellEnd"/>
            <w:r w:rsidRPr="006E14AC">
              <w:rPr>
                <w:rFonts w:ascii="Times New Roman" w:eastAsia="Times New Roman" w:hAnsi="Times New Roman" w:cs="Times New Roman"/>
                <w:sz w:val="24"/>
                <w:szCs w:val="24"/>
                <w:lang w:eastAsia="lv-LV"/>
              </w:rPr>
              <w:t xml:space="preserve"> transporta sistēmu (ITS) lietojumiem </w:t>
            </w:r>
            <w:r w:rsidR="00CB699B" w:rsidRPr="006E14AC">
              <w:rPr>
                <w:rFonts w:ascii="Times New Roman" w:eastAsia="Times New Roman" w:hAnsi="Times New Roman" w:cs="Times New Roman"/>
                <w:sz w:val="24"/>
                <w:szCs w:val="24"/>
                <w:lang w:eastAsia="lv-LV"/>
              </w:rPr>
              <w:t>un Lēmuma 2008/671/EK atcelšanu</w:t>
            </w:r>
          </w:p>
        </w:tc>
      </w:tr>
      <w:tr w:rsidR="006E14AC" w:rsidRPr="006E14AC" w14:paraId="548147BF" w14:textId="77777777" w:rsidTr="00435CB6">
        <w:tc>
          <w:tcPr>
            <w:tcW w:w="846" w:type="dxa"/>
          </w:tcPr>
          <w:p w14:paraId="791F5567" w14:textId="49C28FD9"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39</w:t>
            </w:r>
            <w:r w:rsidRPr="006E14AC">
              <w:rPr>
                <w:rFonts w:ascii="Times New Roman" w:eastAsia="Times New Roman" w:hAnsi="Times New Roman" w:cs="Times New Roman"/>
                <w:sz w:val="24"/>
                <w:szCs w:val="24"/>
                <w:lang w:eastAsia="lv-LV"/>
              </w:rPr>
              <w:t>.</w:t>
            </w:r>
          </w:p>
        </w:tc>
        <w:tc>
          <w:tcPr>
            <w:tcW w:w="8215" w:type="dxa"/>
          </w:tcPr>
          <w:p w14:paraId="421C58A3" w14:textId="192C44E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Īstenošanas lēmums (ES) 2021/1067 par radiofrekvenču spektra saskaņotu lietošanu 5945–6425 MHz radiofrekvenču joslā bezvadu piekļuves sistēmu, ieskaitot lokālos tīklus (WAS/RLAN), darbības nodrošināšanai</w:t>
            </w:r>
          </w:p>
        </w:tc>
      </w:tr>
      <w:tr w:rsidR="006E14AC" w:rsidRPr="006E14AC" w14:paraId="1514BE79" w14:textId="77777777" w:rsidTr="00435CB6">
        <w:tc>
          <w:tcPr>
            <w:tcW w:w="846" w:type="dxa"/>
          </w:tcPr>
          <w:p w14:paraId="7EAA3EC1" w14:textId="48154DC6"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40</w:t>
            </w:r>
            <w:r w:rsidRPr="006E14AC">
              <w:rPr>
                <w:rFonts w:ascii="Times New Roman" w:eastAsia="Times New Roman" w:hAnsi="Times New Roman" w:cs="Times New Roman"/>
                <w:sz w:val="24"/>
                <w:szCs w:val="24"/>
                <w:lang w:eastAsia="lv-LV"/>
              </w:rPr>
              <w:t>.</w:t>
            </w:r>
          </w:p>
        </w:tc>
        <w:tc>
          <w:tcPr>
            <w:tcW w:w="8215" w:type="dxa"/>
          </w:tcPr>
          <w:p w14:paraId="6436602E" w14:textId="6C95C56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28</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Īstenošanas lēmums (ES) 2021/1730 par 874,4–880,0 MHz un 919,4–925,0 MHz sapāroto frekvenču joslu un 1900–</w:t>
            </w:r>
            <w:r w:rsidR="00890811" w:rsidRPr="006E14AC">
              <w:rPr>
                <w:rFonts w:ascii="Times New Roman" w:eastAsia="Times New Roman" w:hAnsi="Times New Roman" w:cs="Times New Roman"/>
                <w:sz w:val="24"/>
                <w:szCs w:val="24"/>
                <w:lang w:eastAsia="lv-LV"/>
              </w:rPr>
              <w:t>1910 </w:t>
            </w:r>
            <w:r w:rsidRPr="006E14AC">
              <w:rPr>
                <w:rFonts w:ascii="Times New Roman" w:eastAsia="Times New Roman" w:hAnsi="Times New Roman" w:cs="Times New Roman"/>
                <w:sz w:val="24"/>
                <w:szCs w:val="24"/>
                <w:lang w:eastAsia="lv-LV"/>
              </w:rPr>
              <w:t>MHz nesapārotās frekvenču joslas saskaņotu izmantošanu dzelzceļa mobilajiem sakariem</w:t>
            </w:r>
          </w:p>
        </w:tc>
      </w:tr>
      <w:tr w:rsidR="006E14AC" w:rsidRPr="006E14AC" w14:paraId="22A6F2BC" w14:textId="77777777" w:rsidTr="00435CB6">
        <w:tc>
          <w:tcPr>
            <w:tcW w:w="846" w:type="dxa"/>
          </w:tcPr>
          <w:p w14:paraId="57DBE1CD" w14:textId="74558BE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41</w:t>
            </w:r>
            <w:r w:rsidRPr="006E14AC">
              <w:rPr>
                <w:rFonts w:ascii="Times New Roman" w:eastAsia="Times New Roman" w:hAnsi="Times New Roman" w:cs="Times New Roman"/>
                <w:sz w:val="24"/>
                <w:szCs w:val="24"/>
                <w:lang w:eastAsia="lv-LV"/>
              </w:rPr>
              <w:t>.</w:t>
            </w:r>
          </w:p>
        </w:tc>
        <w:tc>
          <w:tcPr>
            <w:tcW w:w="8215" w:type="dxa"/>
          </w:tcPr>
          <w:p w14:paraId="29725801" w14:textId="48C20E3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Īstenošanas lēmums (ES) 2022/172 par grozījumiem Īstenošanas lēmumā (ES) 2018/1538 par radiofrekvenču spektra harmonizēšanu izmantošanai maza darbības attāluma ierīcēm 874–876 un 915–</w:t>
            </w:r>
            <w:r w:rsidR="00890811" w:rsidRPr="006E14AC">
              <w:rPr>
                <w:rFonts w:ascii="Times New Roman" w:eastAsia="Times New Roman" w:hAnsi="Times New Roman" w:cs="Times New Roman"/>
                <w:sz w:val="24"/>
                <w:szCs w:val="24"/>
                <w:lang w:eastAsia="lv-LV"/>
              </w:rPr>
              <w:t>921 </w:t>
            </w:r>
            <w:r w:rsidRPr="006E14AC">
              <w:rPr>
                <w:rFonts w:ascii="Times New Roman" w:eastAsia="Times New Roman" w:hAnsi="Times New Roman" w:cs="Times New Roman"/>
                <w:sz w:val="24"/>
                <w:szCs w:val="24"/>
                <w:lang w:eastAsia="lv-LV"/>
              </w:rPr>
              <w:t>MHz frekvenču joslās</w:t>
            </w:r>
          </w:p>
        </w:tc>
      </w:tr>
      <w:tr w:rsidR="006E14AC" w:rsidRPr="006E14AC" w14:paraId="0771D5D1" w14:textId="77777777" w:rsidTr="00435CB6">
        <w:tc>
          <w:tcPr>
            <w:tcW w:w="846" w:type="dxa"/>
          </w:tcPr>
          <w:p w14:paraId="79BADE00" w14:textId="10E4269C"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42</w:t>
            </w:r>
            <w:r w:rsidRPr="006E14AC">
              <w:rPr>
                <w:rFonts w:ascii="Times New Roman" w:eastAsia="Times New Roman" w:hAnsi="Times New Roman" w:cs="Times New Roman"/>
                <w:sz w:val="24"/>
                <w:szCs w:val="24"/>
                <w:lang w:eastAsia="lv-LV"/>
              </w:rPr>
              <w:t>.</w:t>
            </w:r>
          </w:p>
        </w:tc>
        <w:tc>
          <w:tcPr>
            <w:tcW w:w="8215" w:type="dxa"/>
          </w:tcPr>
          <w:p w14:paraId="10E39FB0" w14:textId="40EA62F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 xml:space="preserve">Īstenošanas lēmums (ES) 2022/173 par 900 MHz un 1800 MHz frekvenču joslu harmonizāciju zemes sistēmām, kuras Savienībā spēj nodrošināt elektronisko sakaru pakalpojumus, un Lēmuma </w:t>
            </w:r>
            <w:r w:rsidR="00CB699B" w:rsidRPr="006E14AC">
              <w:rPr>
                <w:rFonts w:ascii="Times New Roman" w:eastAsia="Times New Roman" w:hAnsi="Times New Roman" w:cs="Times New Roman"/>
                <w:sz w:val="24"/>
                <w:szCs w:val="24"/>
                <w:lang w:eastAsia="lv-LV"/>
              </w:rPr>
              <w:t>2009/766/EK atcelšanu</w:t>
            </w:r>
          </w:p>
        </w:tc>
      </w:tr>
      <w:tr w:rsidR="006E14AC" w:rsidRPr="006E14AC" w14:paraId="01E4BA0D" w14:textId="77777777" w:rsidTr="00435CB6">
        <w:tc>
          <w:tcPr>
            <w:tcW w:w="846" w:type="dxa"/>
          </w:tcPr>
          <w:p w14:paraId="35247337" w14:textId="1BA9E97E"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43</w:t>
            </w:r>
            <w:r w:rsidRPr="006E14AC">
              <w:rPr>
                <w:rFonts w:ascii="Times New Roman" w:eastAsia="Times New Roman" w:hAnsi="Times New Roman" w:cs="Times New Roman"/>
                <w:sz w:val="24"/>
                <w:szCs w:val="24"/>
                <w:lang w:eastAsia="lv-LV"/>
              </w:rPr>
              <w:t>.</w:t>
            </w:r>
          </w:p>
        </w:tc>
        <w:tc>
          <w:tcPr>
            <w:tcW w:w="8215" w:type="dxa"/>
          </w:tcPr>
          <w:p w14:paraId="5264D8F9" w14:textId="7B3C1A0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 xml:space="preserve">Īstenošanas lēmums (ES) 2022/179 par radiofrekvenču spektra harmonizētu lietošanu 5 GHz frekvenču joslā bezvadu piekļuves sistēmu, ieskaitot lokālos radiotīklus, darbības nodrošināšanai un </w:t>
            </w:r>
            <w:r w:rsidR="00CB699B" w:rsidRPr="006E14AC">
              <w:rPr>
                <w:rFonts w:ascii="Times New Roman" w:eastAsia="Times New Roman" w:hAnsi="Times New Roman" w:cs="Times New Roman"/>
                <w:sz w:val="24"/>
                <w:szCs w:val="24"/>
                <w:lang w:eastAsia="lv-LV"/>
              </w:rPr>
              <w:t>Lēmuma 2005/513/EK atcelšanu</w:t>
            </w:r>
          </w:p>
        </w:tc>
      </w:tr>
      <w:tr w:rsidR="006E14AC" w:rsidRPr="006E14AC" w14:paraId="68932E5D" w14:textId="77777777" w:rsidTr="00435CB6">
        <w:tc>
          <w:tcPr>
            <w:tcW w:w="846" w:type="dxa"/>
          </w:tcPr>
          <w:p w14:paraId="3EC24649" w14:textId="606F50CD"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44</w:t>
            </w:r>
            <w:r w:rsidRPr="006E14AC">
              <w:rPr>
                <w:rFonts w:ascii="Times New Roman" w:eastAsia="Times New Roman" w:hAnsi="Times New Roman" w:cs="Times New Roman"/>
                <w:sz w:val="24"/>
                <w:szCs w:val="24"/>
                <w:lang w:eastAsia="lv-LV"/>
              </w:rPr>
              <w:t>.</w:t>
            </w:r>
          </w:p>
        </w:tc>
        <w:tc>
          <w:tcPr>
            <w:tcW w:w="8215" w:type="dxa"/>
          </w:tcPr>
          <w:p w14:paraId="3E0F35E4" w14:textId="38A5B1D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Īstenošanas lēmums (ES) 2022/180, kas groza Lēmumu 2006/771/EK, atjauninot harmonizētos tehniskos noteikumus radiofrekvenču spektra izmantošanai maza darbības attāluma ierīcēs</w:t>
            </w:r>
          </w:p>
        </w:tc>
      </w:tr>
      <w:tr w:rsidR="006E14AC" w:rsidRPr="006E14AC" w14:paraId="58333BDB" w14:textId="77777777" w:rsidTr="00435CB6">
        <w:tc>
          <w:tcPr>
            <w:tcW w:w="846" w:type="dxa"/>
          </w:tcPr>
          <w:p w14:paraId="5754FCD0" w14:textId="5265E286" w:rsidR="002105CD" w:rsidRPr="006E14AC" w:rsidRDefault="002105C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1.45.</w:t>
            </w:r>
          </w:p>
        </w:tc>
        <w:tc>
          <w:tcPr>
            <w:tcW w:w="8215" w:type="dxa"/>
          </w:tcPr>
          <w:p w14:paraId="72739BF7" w14:textId="55087DFE" w:rsidR="002105CD" w:rsidRPr="006E14AC" w:rsidRDefault="00E40C06" w:rsidP="002F1C9A">
            <w:pPr>
              <w:spacing w:after="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Komisijas 2022</w:t>
            </w:r>
            <w:r w:rsidR="004A6E54" w:rsidRPr="006E14AC">
              <w:rPr>
                <w:rFonts w:ascii="Times New Roman" w:eastAsia="Times New Roman" w:hAnsi="Times New Roman" w:cs="Times New Roman"/>
                <w:sz w:val="24"/>
                <w:szCs w:val="24"/>
              </w:rPr>
              <w:t xml:space="preserve">. gada </w:t>
            </w:r>
            <w:r w:rsidRPr="006E14AC">
              <w:rPr>
                <w:rFonts w:ascii="Times New Roman" w:eastAsia="Times New Roman" w:hAnsi="Times New Roman" w:cs="Times New Roman"/>
                <w:sz w:val="24"/>
                <w:szCs w:val="24"/>
              </w:rPr>
              <w:t>23</w:t>
            </w:r>
            <w:r w:rsidR="004A6E54" w:rsidRPr="006E14AC">
              <w:rPr>
                <w:rFonts w:ascii="Times New Roman" w:eastAsia="Times New Roman" w:hAnsi="Times New Roman" w:cs="Times New Roman"/>
                <w:sz w:val="24"/>
                <w:szCs w:val="24"/>
              </w:rPr>
              <w:t xml:space="preserve">. novembra </w:t>
            </w:r>
            <w:r w:rsidRPr="006E14AC">
              <w:rPr>
                <w:rFonts w:ascii="Times New Roman" w:eastAsia="Times New Roman" w:hAnsi="Times New Roman" w:cs="Times New Roman"/>
                <w:sz w:val="24"/>
                <w:szCs w:val="24"/>
              </w:rPr>
              <w:t>Īstenošanas lēmums (ES) 2022/2307, ar ko saskaņā ar pielikumā izklāstītajiem tehniskajiem nosacījumiem Īstenošanas lēmumā (ES) 2022/179 groza to, kā paredz un dara pieejamas 5150–5250 MHz, 5250–5350 MHz un 5470–5725 MHz frekvenču joslas</w:t>
            </w:r>
          </w:p>
        </w:tc>
      </w:tr>
      <w:tr w:rsidR="006E14AC" w:rsidRPr="006E14AC" w14:paraId="2ED19874" w14:textId="77777777" w:rsidTr="00435CB6">
        <w:tc>
          <w:tcPr>
            <w:tcW w:w="846" w:type="dxa"/>
          </w:tcPr>
          <w:p w14:paraId="2D6B7DB5" w14:textId="5A99B595" w:rsidR="002105CD" w:rsidRPr="006E14AC" w:rsidRDefault="002105C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1.46.</w:t>
            </w:r>
          </w:p>
        </w:tc>
        <w:tc>
          <w:tcPr>
            <w:tcW w:w="8215" w:type="dxa"/>
          </w:tcPr>
          <w:p w14:paraId="0FC25F60" w14:textId="554D8215" w:rsidR="002105CD" w:rsidRPr="006E14AC" w:rsidRDefault="00F12EC8">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Komisijas 2022</w:t>
            </w:r>
            <w:r w:rsidR="004A6E54" w:rsidRPr="006E14AC">
              <w:rPr>
                <w:rFonts w:ascii="Times New Roman" w:eastAsia="Times New Roman" w:hAnsi="Times New Roman" w:cs="Times New Roman"/>
                <w:sz w:val="24"/>
                <w:szCs w:val="24"/>
              </w:rPr>
              <w:t xml:space="preserve">. gada </w:t>
            </w:r>
            <w:r w:rsidRPr="006E14AC">
              <w:rPr>
                <w:rFonts w:ascii="Times New Roman" w:eastAsia="Times New Roman" w:hAnsi="Times New Roman" w:cs="Times New Roman"/>
                <w:sz w:val="24"/>
                <w:szCs w:val="24"/>
              </w:rPr>
              <w:t>23</w:t>
            </w:r>
            <w:r w:rsidR="004A6E54" w:rsidRPr="006E14AC">
              <w:rPr>
                <w:rFonts w:ascii="Times New Roman" w:eastAsia="Times New Roman" w:hAnsi="Times New Roman" w:cs="Times New Roman"/>
                <w:sz w:val="24"/>
                <w:szCs w:val="24"/>
              </w:rPr>
              <w:t xml:space="preserve">. novembra </w:t>
            </w:r>
            <w:r w:rsidRPr="006E14AC">
              <w:rPr>
                <w:rFonts w:ascii="Times New Roman" w:eastAsia="Times New Roman" w:hAnsi="Times New Roman" w:cs="Times New Roman"/>
                <w:sz w:val="24"/>
                <w:szCs w:val="24"/>
              </w:rPr>
              <w:t>Īstenošanas lēmums (ES) 2022/2324, ar ko groza Lēmumu 2008/294/EK, lai tajā iekļautu piekļuves papildu tehnoloģijas un pasākumus mobilo sakaru pakalpojumu gaisa kuģos (MCA pakalpojumu) darbībai Savienībā</w:t>
            </w:r>
          </w:p>
        </w:tc>
      </w:tr>
    </w:tbl>
    <w:p w14:paraId="05EFDB25" w14:textId="77777777" w:rsidR="00CB699B"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2. </w:t>
      </w:r>
      <w:r w:rsidR="00961D9C" w:rsidRPr="006E14AC">
        <w:rPr>
          <w:rFonts w:ascii="Times New Roman" w:eastAsia="Times New Roman" w:hAnsi="Times New Roman" w:cs="Times New Roman"/>
          <w:b/>
          <w:bCs/>
          <w:sz w:val="24"/>
          <w:szCs w:val="24"/>
          <w:lang w:eastAsia="lv-LV"/>
        </w:rPr>
        <w:t xml:space="preserve">CEPT </w:t>
      </w:r>
      <w:r w:rsidR="00294824" w:rsidRPr="006E14AC">
        <w:rPr>
          <w:rFonts w:ascii="Times New Roman" w:eastAsia="Times New Roman" w:hAnsi="Times New Roman" w:cs="Times New Roman"/>
          <w:b/>
          <w:bCs/>
          <w:sz w:val="24"/>
          <w:szCs w:val="24"/>
          <w:lang w:eastAsia="lv-LV"/>
        </w:rPr>
        <w:t>ECC (ERC) lēmum</w:t>
      </w:r>
      <w:r w:rsidR="009F0668" w:rsidRPr="006E14AC">
        <w:rPr>
          <w:rFonts w:ascii="Times New Roman" w:eastAsia="Times New Roman" w:hAnsi="Times New Roman" w:cs="Times New Roman"/>
          <w:b/>
          <w:bCs/>
          <w:sz w:val="24"/>
          <w:szCs w:val="24"/>
          <w:lang w:eastAsia="lv-LV"/>
        </w:rPr>
        <w:t>i</w:t>
      </w:r>
    </w:p>
    <w:tbl>
      <w:tblPr>
        <w:tblStyle w:val="TableGrid"/>
        <w:tblW w:w="0" w:type="auto"/>
        <w:tblLook w:val="04A0" w:firstRow="1" w:lastRow="0" w:firstColumn="1" w:lastColumn="0" w:noHBand="0" w:noVBand="1"/>
      </w:tblPr>
      <w:tblGrid>
        <w:gridCol w:w="841"/>
        <w:gridCol w:w="8220"/>
      </w:tblGrid>
      <w:tr w:rsidR="006E14AC" w:rsidRPr="006E14AC" w14:paraId="0109F651" w14:textId="77777777" w:rsidTr="00965AEA">
        <w:tc>
          <w:tcPr>
            <w:tcW w:w="841" w:type="dxa"/>
            <w:vAlign w:val="center"/>
          </w:tcPr>
          <w:p w14:paraId="5DB6C107" w14:textId="77777777" w:rsidR="00CB699B" w:rsidRPr="006E14AC" w:rsidRDefault="001F5866" w:rsidP="00965AEA">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20" w:type="dxa"/>
            <w:vAlign w:val="center"/>
          </w:tcPr>
          <w:p w14:paraId="02689432"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6A943874" w14:textId="77777777" w:rsidTr="00965AEA">
        <w:tc>
          <w:tcPr>
            <w:tcW w:w="841" w:type="dxa"/>
          </w:tcPr>
          <w:p w14:paraId="763B451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w:t>
            </w:r>
          </w:p>
        </w:tc>
        <w:tc>
          <w:tcPr>
            <w:tcW w:w="8220" w:type="dxa"/>
          </w:tcPr>
          <w:p w14:paraId="5AD64EA7" w14:textId="79BE112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frekvenču joslām, kuras nosakāmas saskaņotai </w:t>
            </w:r>
            <w:proofErr w:type="spellStart"/>
            <w:r w:rsidRPr="006E14AC">
              <w:rPr>
                <w:rFonts w:ascii="Times New Roman" w:eastAsia="Times New Roman" w:hAnsi="Times New Roman" w:cs="Times New Roman"/>
                <w:sz w:val="24"/>
                <w:szCs w:val="24"/>
                <w:lang w:eastAsia="lv-LV"/>
              </w:rPr>
              <w:t>Viseiropas</w:t>
            </w:r>
            <w:proofErr w:type="spellEnd"/>
            <w:r w:rsidRPr="006E14AC">
              <w:rPr>
                <w:rFonts w:ascii="Times New Roman" w:eastAsia="Times New Roman" w:hAnsi="Times New Roman" w:cs="Times New Roman"/>
                <w:sz w:val="24"/>
                <w:szCs w:val="24"/>
                <w:lang w:eastAsia="lv-LV"/>
              </w:rPr>
              <w:t xml:space="preserve"> ciparu sakaru sistēmas GSM ieviešanai </w:t>
            </w:r>
          </w:p>
        </w:tc>
      </w:tr>
      <w:tr w:rsidR="006E14AC" w:rsidRPr="006E14AC" w14:paraId="108E016A" w14:textId="77777777" w:rsidTr="00965AEA">
        <w:tc>
          <w:tcPr>
            <w:tcW w:w="841" w:type="dxa"/>
          </w:tcPr>
          <w:p w14:paraId="5346A78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2.2.</w:t>
            </w:r>
          </w:p>
        </w:tc>
        <w:tc>
          <w:tcPr>
            <w:tcW w:w="8220" w:type="dxa"/>
          </w:tcPr>
          <w:p w14:paraId="5896141A" w14:textId="5C0FCC6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Eiropas ciparu bezauklas telesakaru sistēmas (DECT) ieviešanai</w:t>
            </w:r>
          </w:p>
        </w:tc>
      </w:tr>
      <w:tr w:rsidR="006E14AC" w:rsidRPr="006E14AC" w14:paraId="6A3B7EF4" w14:textId="77777777" w:rsidTr="00965AEA">
        <w:tc>
          <w:tcPr>
            <w:tcW w:w="841" w:type="dxa"/>
          </w:tcPr>
          <w:p w14:paraId="32D8FC6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w:t>
            </w:r>
          </w:p>
        </w:tc>
        <w:tc>
          <w:tcPr>
            <w:tcW w:w="8220" w:type="dxa"/>
          </w:tcPr>
          <w:p w14:paraId="4958AEEC" w14:textId="018B1C6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ERC/DEC/(95)03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DCS 1800 ieviešanai (ciparu šūnu sakaru sistēma 1800 MHz joslā)</w:t>
            </w:r>
          </w:p>
        </w:tc>
      </w:tr>
      <w:tr w:rsidR="006E14AC" w:rsidRPr="006E14AC" w14:paraId="0842E684" w14:textId="77777777" w:rsidTr="00965AEA">
        <w:tc>
          <w:tcPr>
            <w:tcW w:w="841" w:type="dxa"/>
          </w:tcPr>
          <w:p w14:paraId="0782541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w:t>
            </w:r>
          </w:p>
        </w:tc>
        <w:tc>
          <w:tcPr>
            <w:tcW w:w="8220" w:type="dxa"/>
          </w:tcPr>
          <w:p w14:paraId="2DE012ED" w14:textId="41D66D6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ERC/DEC/(97)02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paplašinātām radiofrekvenču joslām</w:t>
            </w:r>
            <w:r w:rsidR="00354AB5"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 xml:space="preserve">lietošanai </w:t>
            </w:r>
            <w:proofErr w:type="spellStart"/>
            <w:r w:rsidRPr="006E14AC">
              <w:rPr>
                <w:rFonts w:ascii="Times New Roman" w:eastAsia="Times New Roman" w:hAnsi="Times New Roman" w:cs="Times New Roman"/>
                <w:sz w:val="24"/>
                <w:szCs w:val="24"/>
                <w:lang w:eastAsia="lv-LV"/>
              </w:rPr>
              <w:t>Viseiropas</w:t>
            </w:r>
            <w:proofErr w:type="spellEnd"/>
            <w:r w:rsidRPr="006E14AC">
              <w:rPr>
                <w:rFonts w:ascii="Times New Roman" w:eastAsia="Times New Roman" w:hAnsi="Times New Roman" w:cs="Times New Roman"/>
                <w:sz w:val="24"/>
                <w:szCs w:val="24"/>
                <w:lang w:eastAsia="lv-LV"/>
              </w:rPr>
              <w:t xml:space="preserve"> ciparu sakaru sistēmai GSM</w:t>
            </w:r>
          </w:p>
        </w:tc>
      </w:tr>
      <w:tr w:rsidR="006E14AC" w:rsidRPr="006E14AC" w14:paraId="70D54F6F" w14:textId="77777777" w:rsidTr="00965AEA">
        <w:tc>
          <w:tcPr>
            <w:tcW w:w="841" w:type="dxa"/>
          </w:tcPr>
          <w:p w14:paraId="0992165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w:t>
            </w:r>
          </w:p>
        </w:tc>
        <w:tc>
          <w:tcPr>
            <w:tcW w:w="8220" w:type="dxa"/>
          </w:tcPr>
          <w:p w14:paraId="446EFC64" w14:textId="60B2FBE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ERC/DEC/(98)22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1998. gada 23.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DECT iekārtu atbrīvošanu no individuālajām atļaujām, izņemot publiskai piekļuvei paredzētas stacionārās daļas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73F46BBF" w14:textId="77777777" w:rsidTr="00965AEA">
        <w:tc>
          <w:tcPr>
            <w:tcW w:w="841" w:type="dxa"/>
          </w:tcPr>
          <w:p w14:paraId="42553DA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w:t>
            </w:r>
          </w:p>
        </w:tc>
        <w:tc>
          <w:tcPr>
            <w:tcW w:w="8220" w:type="dxa"/>
          </w:tcPr>
          <w:p w14:paraId="5B29F6F8" w14:textId="0AA5E22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mobilo zemes staciju (S-PCS&lt;1GHz) brīvu apriti, izmantošanu un atbrīvošanu no individuālajām atļaujām</w:t>
            </w:r>
          </w:p>
        </w:tc>
      </w:tr>
      <w:tr w:rsidR="006E14AC" w:rsidRPr="006E14AC" w14:paraId="2282C7B5" w14:textId="77777777" w:rsidTr="00965AEA">
        <w:tc>
          <w:tcPr>
            <w:tcW w:w="841" w:type="dxa"/>
          </w:tcPr>
          <w:p w14:paraId="02D66E8F"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2.7.</w:t>
            </w:r>
          </w:p>
        </w:tc>
        <w:tc>
          <w:tcPr>
            <w:tcW w:w="8220" w:type="dxa"/>
          </w:tcPr>
          <w:p w14:paraId="775C1446" w14:textId="3DB0A315" w:rsidR="00CF6AC8" w:rsidRPr="006E14AC" w:rsidRDefault="00076A2D" w:rsidP="00A50C08">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satelītu personālo sakaru sistēmu, kuras darbojas joslās zem 1 GHz (S-PCS&lt;1GHz), saskaņotu ieviešanu (202</w:t>
            </w:r>
            <w:r w:rsidR="009F3575" w:rsidRPr="006E14AC">
              <w:rPr>
                <w:rFonts w:ascii="Times New Roman" w:eastAsia="Times New Roman" w:hAnsi="Times New Roman" w:cs="Times New Roman"/>
                <w:sz w:val="24"/>
                <w:szCs w:val="24"/>
                <w:lang w:eastAsia="lv-LV"/>
              </w:rPr>
              <w:t>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C66149" w:rsidRPr="006E14AC">
              <w:rPr>
                <w:rFonts w:ascii="Times New Roman" w:eastAsia="Times New Roman" w:hAnsi="Times New Roman" w:cs="Times New Roman"/>
                <w:sz w:val="24"/>
                <w:szCs w:val="24"/>
                <w:lang w:eastAsia="lv-LV"/>
              </w:rPr>
              <w:t>0</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12645A84" w14:textId="77777777" w:rsidTr="00965AEA">
        <w:tc>
          <w:tcPr>
            <w:tcW w:w="841" w:type="dxa"/>
          </w:tcPr>
          <w:p w14:paraId="0E34222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2.8.</w:t>
            </w:r>
          </w:p>
        </w:tc>
        <w:tc>
          <w:tcPr>
            <w:tcW w:w="8220" w:type="dxa"/>
          </w:tcPr>
          <w:p w14:paraId="010E0862" w14:textId="08A6674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ERC/DEC/(99)15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harmonizētas 40,5–43,5 GHz frekvenču joslas noteikšanu multimediju bezvadu sakaru sistēmu (MWS) un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punkts (P</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P) fiksēto bezvadu sistēmu ieviešanai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076818EA" w14:textId="77777777" w:rsidTr="00965AEA">
        <w:tc>
          <w:tcPr>
            <w:tcW w:w="841" w:type="dxa"/>
          </w:tcPr>
          <w:p w14:paraId="2EF1354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2.9.</w:t>
            </w:r>
          </w:p>
        </w:tc>
        <w:tc>
          <w:tcPr>
            <w:tcW w:w="8220" w:type="dxa"/>
          </w:tcPr>
          <w:p w14:paraId="7696848D" w14:textId="48D2EC0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ERC/DEC/(00)02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2000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27</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37,5–39,5 GHz radiofrekvenču joslas izmantošanu fiksētajā dienestā un Zemes stacijām fiksētajā satelītu dienestā (izplatījums–Zeme)</w:t>
            </w:r>
          </w:p>
        </w:tc>
      </w:tr>
      <w:tr w:rsidR="006E14AC" w:rsidRPr="006E14AC" w14:paraId="2149951B" w14:textId="77777777" w:rsidTr="00965AEA">
        <w:tc>
          <w:tcPr>
            <w:tcW w:w="841" w:type="dxa"/>
          </w:tcPr>
          <w:p w14:paraId="3F90724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2.10.</w:t>
            </w:r>
          </w:p>
        </w:tc>
        <w:tc>
          <w:tcPr>
            <w:tcW w:w="8220" w:type="dxa"/>
          </w:tcPr>
          <w:p w14:paraId="237D844F" w14:textId="0202351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ERC/DEC/(00)07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2000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17,7–19,7 GHz radiofrekvenču joslas koplietošanu fiksētā dienesta un fiksētā satelītu dienesta (izplatījums–Zeme) Zemes stacijām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737EB886" w14:textId="77777777" w:rsidTr="00965AEA">
        <w:tc>
          <w:tcPr>
            <w:tcW w:w="841" w:type="dxa"/>
          </w:tcPr>
          <w:p w14:paraId="1EE9EE7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2.11.</w:t>
            </w:r>
          </w:p>
        </w:tc>
        <w:tc>
          <w:tcPr>
            <w:tcW w:w="8220" w:type="dxa"/>
          </w:tcPr>
          <w:p w14:paraId="0F6D69C1" w14:textId="2988DAB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ERC/DEC/(00)08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2000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10,7–12,5 GHz radiofrekvenču joslas izmantošanu fiksētā dienesta stacijām un apraides satelītu dienesta un fiksētā satelītu dienesta (izplatījums–Zeme) Zemes stacijām</w:t>
            </w:r>
          </w:p>
        </w:tc>
      </w:tr>
      <w:tr w:rsidR="006E14AC" w:rsidRPr="006E14AC" w14:paraId="2AB679C7" w14:textId="77777777" w:rsidTr="00965AEA">
        <w:tc>
          <w:tcPr>
            <w:tcW w:w="841" w:type="dxa"/>
          </w:tcPr>
          <w:p w14:paraId="5F79DB59"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2.12.</w:t>
            </w:r>
          </w:p>
        </w:tc>
        <w:tc>
          <w:tcPr>
            <w:tcW w:w="8220" w:type="dxa"/>
          </w:tcPr>
          <w:p w14:paraId="60E0CA1C" w14:textId="32DB77B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2001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34,995–35,225 MHz radiofrekvenču joslā darbojošos maza darbības attāluma lidmodeļu vadības ierīču harmonizētajām radiofrekvencēm, tehniskajiem parametriem un atbrīvošanu no individuālajām atļaujām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07F5E97F" w14:textId="77777777" w:rsidTr="00965AEA">
        <w:tc>
          <w:tcPr>
            <w:tcW w:w="841" w:type="dxa"/>
          </w:tcPr>
          <w:p w14:paraId="356A8675"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2.13.</w:t>
            </w:r>
          </w:p>
        </w:tc>
        <w:tc>
          <w:tcPr>
            <w:tcW w:w="8220" w:type="dxa"/>
          </w:tcPr>
          <w:p w14:paraId="52B51510" w14:textId="288C033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ERC/DEC/(01)12 – ERC 2001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40,665 MHz, 40,</w:t>
            </w:r>
            <w:r w:rsidR="00C81020" w:rsidRPr="006E14AC">
              <w:rPr>
                <w:rFonts w:ascii="Times New Roman" w:eastAsia="Times New Roman" w:hAnsi="Times New Roman" w:cs="Times New Roman"/>
                <w:sz w:val="24"/>
                <w:szCs w:val="24"/>
                <w:lang w:eastAsia="lv-LV"/>
              </w:rPr>
              <w:t>675 </w:t>
            </w:r>
            <w:r w:rsidRPr="006E14AC">
              <w:rPr>
                <w:rFonts w:ascii="Times New Roman" w:eastAsia="Times New Roman" w:hAnsi="Times New Roman" w:cs="Times New Roman"/>
                <w:sz w:val="24"/>
                <w:szCs w:val="24"/>
                <w:lang w:eastAsia="lv-LV"/>
              </w:rPr>
              <w:t>MHz, 40,685 MHz un 40,695 MHz radiofrekvencēs darbojošos maza darbības attāluma modeļu vadības ierīču harmonizētajām radiofrekvencēm, tehniskajiem parametriem un atbrīvošanu no individuālajām atļaujām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184F0ECB" w14:textId="77777777" w:rsidTr="00965AEA">
        <w:tc>
          <w:tcPr>
            <w:tcW w:w="841" w:type="dxa"/>
          </w:tcPr>
          <w:p w14:paraId="000B691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2.14.</w:t>
            </w:r>
          </w:p>
        </w:tc>
        <w:tc>
          <w:tcPr>
            <w:tcW w:w="8220" w:type="dxa"/>
          </w:tcPr>
          <w:p w14:paraId="50CB0A18" w14:textId="04E37A4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2001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marta </w:t>
            </w:r>
            <w:bookmarkStart w:id="0" w:name="_Hlk144113026"/>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sevišķi mazas jaudas aktīvo medicīnisko implantu harmonizētajām radiofrekvencēm, tehniskajiem parametriem un atbrīvošanu no individuālajām atļaujām, kas 401</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406 MHz radiofrekvenču joslā </w:t>
            </w:r>
            <w:r w:rsidR="00864F7D" w:rsidRPr="006E14AC">
              <w:rPr>
                <w:rFonts w:ascii="Times New Roman" w:eastAsia="Times New Roman" w:hAnsi="Times New Roman" w:cs="Times New Roman"/>
                <w:sz w:val="24"/>
                <w:szCs w:val="24"/>
                <w:lang w:eastAsia="lv-LV"/>
              </w:rPr>
              <w:t xml:space="preserve">darbojas </w:t>
            </w:r>
            <w:r w:rsidRPr="006E14AC">
              <w:rPr>
                <w:rFonts w:ascii="Times New Roman" w:eastAsia="Times New Roman" w:hAnsi="Times New Roman" w:cs="Times New Roman"/>
                <w:sz w:val="24"/>
                <w:szCs w:val="24"/>
                <w:lang w:eastAsia="lv-LV"/>
              </w:rPr>
              <w:t>uz sekundāriem nosacījumiem</w:t>
            </w:r>
            <w:bookmarkEnd w:id="0"/>
            <w:r w:rsidRPr="006E14AC">
              <w:rPr>
                <w:rFonts w:ascii="Times New Roman" w:eastAsia="Times New Roman" w:hAnsi="Times New Roman" w:cs="Times New Roman"/>
                <w:sz w:val="24"/>
                <w:szCs w:val="24"/>
                <w:lang w:eastAsia="lv-LV"/>
              </w:rPr>
              <w:t xml:space="preserve">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25C082E2" w14:textId="77777777" w:rsidTr="00965AEA">
        <w:tc>
          <w:tcPr>
            <w:tcW w:w="841" w:type="dxa"/>
          </w:tcPr>
          <w:p w14:paraId="2BF73B38"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2.15.</w:t>
            </w:r>
          </w:p>
        </w:tc>
        <w:tc>
          <w:tcPr>
            <w:tcW w:w="8220" w:type="dxa"/>
          </w:tcPr>
          <w:p w14:paraId="46A79308" w14:textId="525641E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ECC/DEC/(02)04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40,5–42,5 GHz radiofrekvenču joslas izmantošanu zemes (fiksētā dienesta un apraides dienesta) sistēmās un nekoordinētajām Zemes stacijām fiksētajā satelītu dienestā un apraides satelītu dienestā (izplatījums–Zeme)</w:t>
            </w:r>
          </w:p>
        </w:tc>
      </w:tr>
      <w:tr w:rsidR="006E14AC" w:rsidRPr="006E14AC" w14:paraId="6200FF4A" w14:textId="77777777" w:rsidTr="00965AEA">
        <w:tc>
          <w:tcPr>
            <w:tcW w:w="841" w:type="dxa"/>
          </w:tcPr>
          <w:p w14:paraId="6569DDE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2.16.</w:t>
            </w:r>
          </w:p>
        </w:tc>
        <w:tc>
          <w:tcPr>
            <w:tcW w:w="8220" w:type="dxa"/>
          </w:tcPr>
          <w:p w14:paraId="2973FEC1" w14:textId="5C51418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ECC/DEC/(03)04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satelītu galiekārtu ar ļoti mazu antenas atvērumu (VSAT), kuras darbojas radiofrekvenču joslās 14,25–14,50 GHz (Zeme</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izplatījums) un 10,70–11,70 GHz (izplatījums–Zeme), atbrīvošanu no individuālajām atļaujām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2E44251A" w14:textId="77777777" w:rsidTr="00965AEA">
        <w:tc>
          <w:tcPr>
            <w:tcW w:w="841" w:type="dxa"/>
          </w:tcPr>
          <w:p w14:paraId="5B4E972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2.17.</w:t>
            </w:r>
          </w:p>
        </w:tc>
        <w:tc>
          <w:tcPr>
            <w:tcW w:w="8220" w:type="dxa"/>
          </w:tcPr>
          <w:p w14:paraId="710A2BED" w14:textId="048DCBF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77–81 GHz radiofrekvenču joslu, kura nosakāma maza darbības attāluma autotransporta radariem</w:t>
            </w:r>
          </w:p>
        </w:tc>
      </w:tr>
      <w:tr w:rsidR="006E14AC" w:rsidRPr="006E14AC" w14:paraId="6AFB02DC" w14:textId="77777777" w:rsidTr="00965AEA">
        <w:tc>
          <w:tcPr>
            <w:tcW w:w="841" w:type="dxa"/>
          </w:tcPr>
          <w:p w14:paraId="07500F9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2.18.</w:t>
            </w:r>
          </w:p>
        </w:tc>
        <w:tc>
          <w:tcPr>
            <w:tcW w:w="8220" w:type="dxa"/>
          </w:tcPr>
          <w:p w14:paraId="2573EA94" w14:textId="557AC331" w:rsidR="00ED3FD8"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ECC/DEC/(04)08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5 GHz frekvenču joslas harmonizētu izmantošanu bezvadu piekļuves sistēm</w:t>
            </w:r>
            <w:r w:rsidR="00126268" w:rsidRPr="006E14AC">
              <w:rPr>
                <w:rFonts w:ascii="Times New Roman" w:eastAsia="Times New Roman" w:hAnsi="Times New Roman" w:cs="Times New Roman"/>
                <w:sz w:val="24"/>
                <w:szCs w:val="24"/>
                <w:lang w:eastAsia="lv-LV"/>
              </w:rPr>
              <w:t>ām</w:t>
            </w:r>
            <w:r w:rsidRPr="006E14AC">
              <w:rPr>
                <w:rFonts w:ascii="Times New Roman" w:eastAsia="Times New Roman" w:hAnsi="Times New Roman" w:cs="Times New Roman"/>
                <w:sz w:val="24"/>
                <w:szCs w:val="24"/>
                <w:lang w:eastAsia="lv-LV"/>
              </w:rPr>
              <w:t>, ieskaitot bezvadu lokālo</w:t>
            </w:r>
            <w:r w:rsidR="00126268" w:rsidRPr="006E14AC">
              <w:rPr>
                <w:rFonts w:ascii="Times New Roman" w:eastAsia="Times New Roman" w:hAnsi="Times New Roman" w:cs="Times New Roman"/>
                <w:sz w:val="24"/>
                <w:szCs w:val="24"/>
                <w:lang w:eastAsia="lv-LV"/>
              </w:rPr>
              <w:t>s</w:t>
            </w:r>
            <w:r w:rsidRPr="006E14AC">
              <w:rPr>
                <w:rFonts w:ascii="Times New Roman" w:eastAsia="Times New Roman" w:hAnsi="Times New Roman" w:cs="Times New Roman"/>
                <w:sz w:val="24"/>
                <w:szCs w:val="24"/>
                <w:lang w:eastAsia="lv-LV"/>
              </w:rPr>
              <w:t xml:space="preserve"> tīklu</w:t>
            </w:r>
            <w:r w:rsidR="00126268" w:rsidRPr="006E14AC">
              <w:rPr>
                <w:rFonts w:ascii="Times New Roman" w:eastAsia="Times New Roman" w:hAnsi="Times New Roman" w:cs="Times New Roman"/>
                <w:sz w:val="24"/>
                <w:szCs w:val="24"/>
                <w:lang w:eastAsia="lv-LV"/>
              </w:rPr>
              <w:t>s</w:t>
            </w:r>
            <w:r w:rsidRPr="006E14AC">
              <w:rPr>
                <w:rFonts w:ascii="Times New Roman" w:eastAsia="Times New Roman" w:hAnsi="Times New Roman" w:cs="Times New Roman"/>
                <w:sz w:val="24"/>
                <w:szCs w:val="24"/>
                <w:lang w:eastAsia="lv-LV"/>
              </w:rPr>
              <w:t xml:space="preserve"> (WAS/RLAN) (</w:t>
            </w:r>
            <w:r w:rsidR="007C554F" w:rsidRPr="006E14AC">
              <w:rPr>
                <w:rFonts w:ascii="Times New Roman" w:eastAsia="Times New Roman" w:hAnsi="Times New Roman" w:cs="Times New Roman"/>
                <w:sz w:val="24"/>
                <w:szCs w:val="24"/>
                <w:lang w:eastAsia="lv-LV"/>
              </w:rPr>
              <w:t>2022</w:t>
            </w:r>
            <w:r w:rsidR="004A6E54" w:rsidRPr="006E14AC">
              <w:rPr>
                <w:rFonts w:ascii="Times New Roman" w:eastAsia="Times New Roman" w:hAnsi="Times New Roman" w:cs="Times New Roman"/>
                <w:sz w:val="24"/>
                <w:szCs w:val="24"/>
                <w:lang w:eastAsia="lv-LV"/>
              </w:rPr>
              <w:t xml:space="preserve">. gada </w:t>
            </w:r>
            <w:r w:rsidR="007C554F"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redakcijā)</w:t>
            </w:r>
          </w:p>
        </w:tc>
      </w:tr>
      <w:tr w:rsidR="006E14AC" w:rsidRPr="006E14AC" w14:paraId="12825162" w14:textId="77777777" w:rsidTr="00965AEA">
        <w:tc>
          <w:tcPr>
            <w:tcW w:w="841" w:type="dxa"/>
          </w:tcPr>
          <w:p w14:paraId="3AA99C9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2.19.</w:t>
            </w:r>
          </w:p>
        </w:tc>
        <w:tc>
          <w:tcPr>
            <w:tcW w:w="8220" w:type="dxa"/>
          </w:tcPr>
          <w:p w14:paraId="17EA4C6B" w14:textId="19BA677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ECC/DEC/(04)09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1518–1525 MHz un 1670–1675 MHz radiofrekvenču joslu noteikšanu mobilā satelītu dienesta sistēmām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26</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52605A7B" w14:textId="77777777" w:rsidTr="00965AEA">
        <w:tc>
          <w:tcPr>
            <w:tcW w:w="841" w:type="dxa"/>
          </w:tcPr>
          <w:p w14:paraId="2C78CC08"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2.20.</w:t>
            </w:r>
          </w:p>
        </w:tc>
        <w:tc>
          <w:tcPr>
            <w:tcW w:w="8220" w:type="dxa"/>
          </w:tcPr>
          <w:p w14:paraId="313827EC" w14:textId="2C45D19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ECC/DEC/(04)10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frekvenču joslām automobiļu tuvdarbības radaru (SRR) ieviešanai uz laiku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7E092A92" w14:textId="77777777" w:rsidTr="00965AEA">
        <w:tc>
          <w:tcPr>
            <w:tcW w:w="841" w:type="dxa"/>
          </w:tcPr>
          <w:p w14:paraId="557C010A"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2.21.</w:t>
            </w:r>
          </w:p>
        </w:tc>
        <w:tc>
          <w:tcPr>
            <w:tcW w:w="8220" w:type="dxa"/>
          </w:tcPr>
          <w:p w14:paraId="1140CD1A" w14:textId="36EF434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27,5–29,5 GHz radiofrekvenču joslas izmantošanu fiksētajā dienestā un nekoordinētajām Zemes stacijām fiksētajā satelītu dienestā (Zeme–izplatījums)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74F4E7CA" w14:textId="77777777" w:rsidTr="00965AEA">
        <w:tc>
          <w:tcPr>
            <w:tcW w:w="841" w:type="dxa"/>
          </w:tcPr>
          <w:p w14:paraId="40B311D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2.22.</w:t>
            </w:r>
          </w:p>
        </w:tc>
        <w:tc>
          <w:tcPr>
            <w:tcW w:w="8220" w:type="dxa"/>
          </w:tcPr>
          <w:p w14:paraId="30C0F146" w14:textId="3D7060C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169,4–169,8125 MHz radiofrekvenču joslas izmantošanu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redakcijā)</w:t>
            </w:r>
          </w:p>
        </w:tc>
      </w:tr>
      <w:tr w:rsidR="006E14AC" w:rsidRPr="006E14AC" w14:paraId="6D30326C" w14:textId="77777777" w:rsidTr="00965AEA">
        <w:tc>
          <w:tcPr>
            <w:tcW w:w="841" w:type="dxa"/>
          </w:tcPr>
          <w:p w14:paraId="726D16A8"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2.23.</w:t>
            </w:r>
          </w:p>
        </w:tc>
        <w:tc>
          <w:tcPr>
            <w:tcW w:w="8220" w:type="dxa"/>
          </w:tcPr>
          <w:p w14:paraId="5E0B28FC" w14:textId="344C8B4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harmonizētu spektra </w:t>
            </w:r>
            <w:r w:rsidRPr="006E14AC">
              <w:rPr>
                <w:rFonts w:ascii="Times New Roman" w:eastAsia="Times New Roman" w:hAnsi="Times New Roman" w:cs="Times New Roman"/>
                <w:spacing w:val="-2"/>
                <w:sz w:val="24"/>
                <w:szCs w:val="24"/>
                <w:lang w:eastAsia="lv-LV"/>
              </w:rPr>
              <w:t>izmantošanu mobilo/fiksēto sakaru tīkliem (MFCN), kas darbojas 2500–</w:t>
            </w:r>
            <w:r w:rsidR="00890811" w:rsidRPr="006E14AC">
              <w:rPr>
                <w:rFonts w:ascii="Times New Roman" w:eastAsia="Times New Roman" w:hAnsi="Times New Roman" w:cs="Times New Roman"/>
                <w:spacing w:val="-2"/>
                <w:sz w:val="24"/>
                <w:szCs w:val="24"/>
                <w:lang w:eastAsia="lv-LV"/>
              </w:rPr>
              <w:t>2690 </w:t>
            </w:r>
            <w:r w:rsidRPr="006E14AC">
              <w:rPr>
                <w:rFonts w:ascii="Times New Roman" w:eastAsia="Times New Roman" w:hAnsi="Times New Roman" w:cs="Times New Roman"/>
                <w:spacing w:val="-2"/>
                <w:sz w:val="24"/>
                <w:szCs w:val="24"/>
                <w:lang w:eastAsia="lv-LV"/>
              </w:rPr>
              <w:t>MHz</w:t>
            </w:r>
            <w:r w:rsidRPr="006E14AC">
              <w:rPr>
                <w:rFonts w:ascii="Times New Roman" w:eastAsia="Times New Roman" w:hAnsi="Times New Roman" w:cs="Times New Roman"/>
                <w:sz w:val="24"/>
                <w:szCs w:val="24"/>
                <w:lang w:eastAsia="lv-LV"/>
              </w:rPr>
              <w:t xml:space="preserve"> joslā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47CAD1E4" w14:textId="77777777" w:rsidTr="00965AEA">
        <w:tc>
          <w:tcPr>
            <w:tcW w:w="841" w:type="dxa"/>
          </w:tcPr>
          <w:p w14:paraId="6D0B422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2.24.</w:t>
            </w:r>
          </w:p>
        </w:tc>
        <w:tc>
          <w:tcPr>
            <w:tcW w:w="8220" w:type="dxa"/>
          </w:tcPr>
          <w:p w14:paraId="63F4F794" w14:textId="7BCBB37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ECC/DEC/(05)08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joslu pieejamību augsta blīvuma lietojumiem fiksētajā satelītu dienestā (virzienos izplatījums–Zeme un Zeme–izplatījums) (2013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6FBD09FD" w14:textId="77777777" w:rsidTr="00965AEA">
        <w:tc>
          <w:tcPr>
            <w:tcW w:w="841" w:type="dxa"/>
          </w:tcPr>
          <w:p w14:paraId="4AE2EB9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2.25.</w:t>
            </w:r>
          </w:p>
        </w:tc>
        <w:tc>
          <w:tcPr>
            <w:tcW w:w="8220" w:type="dxa"/>
          </w:tcPr>
          <w:p w14:paraId="7E752944" w14:textId="33B0DD2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ECC/DEC/(05)09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kuģu Zemes staciju, kas darbojas fiksētā satelītu dienesta tīklos radiofrekvenču joslās 5925–6425 MHz (Zeme–izplatījums) un 3700–4200 MHz (izplatījums–Zeme)</w:t>
            </w:r>
            <w:r w:rsidR="00354AB5"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brīvu apriti un izmantošanu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1FD0F8C4" w14:textId="77777777" w:rsidTr="00965AEA">
        <w:tc>
          <w:tcPr>
            <w:tcW w:w="841" w:type="dxa"/>
          </w:tcPr>
          <w:p w14:paraId="42352B8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2.26.</w:t>
            </w:r>
          </w:p>
        </w:tc>
        <w:tc>
          <w:tcPr>
            <w:tcW w:w="8220" w:type="dxa"/>
          </w:tcPr>
          <w:p w14:paraId="0CD3437E" w14:textId="40A0C76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ECC/DEC/(05)10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kuģu Zemes staciju brīvu apriti un izmantošanu, kas darbojas fiksētā satelītu dienesta tīklos radiofrekvenču joslās 14</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14,5 GHz (Zeme–izplatījums); 10,7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11,7 GHz (izplatījums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Zeme) un 12,5–12,75 GHz (izplatījums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Zeme)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0D5C2AB7" w14:textId="77777777" w:rsidTr="00965AEA">
        <w:tc>
          <w:tcPr>
            <w:tcW w:w="841" w:type="dxa"/>
          </w:tcPr>
          <w:p w14:paraId="2EE42F5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2.27.</w:t>
            </w:r>
          </w:p>
        </w:tc>
        <w:tc>
          <w:tcPr>
            <w:tcW w:w="8220" w:type="dxa"/>
          </w:tcPr>
          <w:p w14:paraId="02F85EDE" w14:textId="7ED038B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ECC/DEC/(05)11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gaisa kuģu Zemes staciju brīvu apriti un izmantošanu radiofrekvenču joslās 14–14,5 GHz (Zeme–izplatījums); 10,7–11,7 GHz (izplatījums–Zeme) un 12,5–12,75 GHz (izplatījums–Zeme)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1269EC97" w14:textId="77777777" w:rsidTr="00965AEA">
        <w:tc>
          <w:tcPr>
            <w:tcW w:w="841" w:type="dxa"/>
          </w:tcPr>
          <w:p w14:paraId="23DF6D9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2.28.</w:t>
            </w:r>
          </w:p>
        </w:tc>
        <w:tc>
          <w:tcPr>
            <w:tcW w:w="8220" w:type="dxa"/>
          </w:tcPr>
          <w:p w14:paraId="4D7B68A2" w14:textId="12E727C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harmonizētu spektra izmantošanu 1920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1980 MHz un 2110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2170 MHz joslās mobilo/fiksēto sakaru tīkliem (MFCN), tai skaitā sauszemes IMT sistēmām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316C599A" w14:textId="77777777" w:rsidTr="00965AEA">
        <w:tc>
          <w:tcPr>
            <w:tcW w:w="841" w:type="dxa"/>
          </w:tcPr>
          <w:p w14:paraId="04A6194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2.29.</w:t>
            </w:r>
          </w:p>
        </w:tc>
        <w:tc>
          <w:tcPr>
            <w:tcW w:w="8220" w:type="dxa"/>
          </w:tcPr>
          <w:p w14:paraId="73236F28" w14:textId="20BE1AF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zemas EIRP satelītu galiekārtu (LEST), kas darbojas radiofrekvenču joslās 10,70–12,75 GHz vai 19,70–20,20 GHz virzienā izplatījums–Zeme un 14,00–14,25 GHz vai 29,50–30,00 GHz virzienā Zeme–izplatījums, atbrīvošanu no individuālajām atļaujām</w:t>
            </w:r>
          </w:p>
        </w:tc>
      </w:tr>
      <w:tr w:rsidR="006E14AC" w:rsidRPr="006E14AC" w14:paraId="7566998F" w14:textId="77777777" w:rsidTr="00965AEA">
        <w:tc>
          <w:tcPr>
            <w:tcW w:w="841" w:type="dxa"/>
          </w:tcPr>
          <w:p w14:paraId="24B63D6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2.30.</w:t>
            </w:r>
          </w:p>
        </w:tc>
        <w:tc>
          <w:tcPr>
            <w:tcW w:w="8220" w:type="dxa"/>
          </w:tcPr>
          <w:p w14:paraId="7E5DF400" w14:textId="48EEC39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augstas EIRP satelītu galiekārtu (HEST) ar EIRP virs 34 dBW, kas darbojas radiofrekvenču joslās 10,70–12,75 GHz vai 19,70–20,20 GHz virzienā izplatījums–Zeme un 14,00–14,25 GHz vai 29,50–30,00 GHz virzienā Zeme–izplatījums, atbrīvošanu no individuālajām atļaujām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3247DDA9" w14:textId="77777777" w:rsidTr="00965AEA">
        <w:tc>
          <w:tcPr>
            <w:tcW w:w="841" w:type="dxa"/>
          </w:tcPr>
          <w:p w14:paraId="7C1E030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2.31.</w:t>
            </w:r>
          </w:p>
        </w:tc>
        <w:tc>
          <w:tcPr>
            <w:tcW w:w="8220" w:type="dxa"/>
          </w:tcPr>
          <w:p w14:paraId="2666012D" w14:textId="3D72C763" w:rsidR="00CB699B" w:rsidRPr="006E14AC" w:rsidRDefault="00076A2D">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iekārtu, kuras izmanto </w:t>
            </w:r>
            <w:proofErr w:type="spellStart"/>
            <w:r w:rsidRPr="006E14AC">
              <w:rPr>
                <w:rFonts w:ascii="Times New Roman" w:eastAsia="Times New Roman" w:hAnsi="Times New Roman" w:cs="Times New Roman"/>
                <w:sz w:val="24"/>
                <w:szCs w:val="24"/>
                <w:lang w:eastAsia="lv-LV"/>
              </w:rPr>
              <w:t>ultraplatjoslas</w:t>
            </w:r>
            <w:proofErr w:type="spellEnd"/>
            <w:r w:rsidRPr="006E14AC">
              <w:rPr>
                <w:rFonts w:ascii="Times New Roman" w:eastAsia="Times New Roman" w:hAnsi="Times New Roman" w:cs="Times New Roman"/>
                <w:sz w:val="24"/>
                <w:szCs w:val="24"/>
                <w:lang w:eastAsia="lv-LV"/>
              </w:rPr>
              <w:t xml:space="preserve"> (UWB) tehnoloģiju, radiofrekvencēs zem 10,6 GHz harmonizētu izmantošanu, atbrīvošanu no individuālajām atļaujām un brīvu apriti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541825DE" w14:textId="77777777" w:rsidTr="00965AEA">
        <w:tc>
          <w:tcPr>
            <w:tcW w:w="841" w:type="dxa"/>
          </w:tcPr>
          <w:p w14:paraId="0A0F6CB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2.32.</w:t>
            </w:r>
          </w:p>
        </w:tc>
        <w:tc>
          <w:tcPr>
            <w:tcW w:w="8220" w:type="dxa"/>
          </w:tcPr>
          <w:p w14:paraId="0CCA9DE6" w14:textId="58D5FF8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harmonizētu gaisa kuģu GSM un LTE sistēmu izmantošanu 1710–1785 un 1805–1880 MHz frekvenču joslās un gaisa kuģu UMTS sistēmu izmantošanu 1920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1980 MHz un 2110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2170 MHz frekvenču joslās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368D496F" w14:textId="77777777" w:rsidTr="00965AEA">
        <w:tc>
          <w:tcPr>
            <w:tcW w:w="841" w:type="dxa"/>
          </w:tcPr>
          <w:p w14:paraId="3D71A10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2.33.</w:t>
            </w:r>
          </w:p>
        </w:tc>
        <w:tc>
          <w:tcPr>
            <w:tcW w:w="8220" w:type="dxa"/>
          </w:tcPr>
          <w:p w14:paraId="4B3B21D2" w14:textId="45967F3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ECC/DEC(06)08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radiofrekvenču spektra izmantošanu zemes un sienu zondēšanas radaru (GPR/WPR) </w:t>
            </w:r>
            <w:proofErr w:type="spellStart"/>
            <w:r w:rsidRPr="006E14AC">
              <w:rPr>
                <w:rFonts w:ascii="Times New Roman" w:eastAsia="Times New Roman" w:hAnsi="Times New Roman" w:cs="Times New Roman"/>
                <w:sz w:val="24"/>
                <w:szCs w:val="24"/>
                <w:lang w:eastAsia="lv-LV"/>
              </w:rPr>
              <w:t>attēlveidošanas</w:t>
            </w:r>
            <w:proofErr w:type="spellEnd"/>
            <w:r w:rsidRPr="006E14AC">
              <w:rPr>
                <w:rFonts w:ascii="Times New Roman" w:eastAsia="Times New Roman" w:hAnsi="Times New Roman" w:cs="Times New Roman"/>
                <w:sz w:val="24"/>
                <w:szCs w:val="24"/>
                <w:lang w:eastAsia="lv-LV"/>
              </w:rPr>
              <w:t xml:space="preserve"> sistēmās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26</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r w:rsidR="006E14AC" w:rsidRPr="006E14AC" w14:paraId="164CBFD6" w14:textId="77777777" w:rsidTr="00965AEA">
        <w:tc>
          <w:tcPr>
            <w:tcW w:w="841" w:type="dxa"/>
          </w:tcPr>
          <w:p w14:paraId="6547007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2.34.</w:t>
            </w:r>
          </w:p>
        </w:tc>
        <w:tc>
          <w:tcPr>
            <w:tcW w:w="8220" w:type="dxa"/>
          </w:tcPr>
          <w:p w14:paraId="6FEA9B17" w14:textId="1934298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ECC/DEC/(06)09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00354AB5" w:rsidRPr="006E14AC">
              <w:rPr>
                <w:rFonts w:ascii="Times New Roman" w:eastAsia="Times New Roman" w:hAnsi="Times New Roman" w:cs="Times New Roman"/>
                <w:sz w:val="24"/>
                <w:szCs w:val="24"/>
                <w:lang w:eastAsia="lv-LV"/>
              </w:rPr>
              <w:t xml:space="preserve">par </w:t>
            </w:r>
            <w:r w:rsidRPr="006E14AC">
              <w:rPr>
                <w:rFonts w:ascii="Times New Roman" w:eastAsia="Times New Roman" w:hAnsi="Times New Roman" w:cs="Times New Roman"/>
                <w:sz w:val="24"/>
                <w:szCs w:val="24"/>
                <w:lang w:eastAsia="lv-LV"/>
              </w:rPr>
              <w:t>1980–2010 MHz un 2170–2200 MHz radiofrekvenču joslu noteikšanu izmantošanai mobilā satelītu dienesta sistēmām, tostarp sistēmām ar papildu zemes komponentēm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2DE686BB" w14:textId="77777777" w:rsidTr="00965AEA">
        <w:tc>
          <w:tcPr>
            <w:tcW w:w="841" w:type="dxa"/>
          </w:tcPr>
          <w:p w14:paraId="19683F9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2.35.</w:t>
            </w:r>
          </w:p>
        </w:tc>
        <w:tc>
          <w:tcPr>
            <w:tcW w:w="8220" w:type="dxa"/>
          </w:tcPr>
          <w:p w14:paraId="4F5C95AA" w14:textId="382EB80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ECC/DEC/(06)10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zemes dienestu darbības pāreju no 1980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2010 MHz un 2170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2200 MHz joslām, lai sekmētu mobilā satelītu dienesta (MSS) harmonizētu ieviešanu un attīstību, tai skaitā papildi</w:t>
            </w:r>
            <w:r w:rsidR="009618A9" w:rsidRPr="006E14AC">
              <w:rPr>
                <w:rFonts w:ascii="Times New Roman" w:eastAsia="Times New Roman" w:hAnsi="Times New Roman" w:cs="Times New Roman"/>
                <w:sz w:val="24"/>
                <w:szCs w:val="24"/>
                <w:lang w:eastAsia="lv-LV"/>
              </w:rPr>
              <w:t>not ar papildu zemes komponenti</w:t>
            </w:r>
            <w:r w:rsidRPr="006E14AC">
              <w:rPr>
                <w:rFonts w:ascii="Times New Roman" w:eastAsia="Times New Roman" w:hAnsi="Times New Roman" w:cs="Times New Roman"/>
                <w:sz w:val="24"/>
                <w:szCs w:val="24"/>
                <w:lang w:eastAsia="lv-LV"/>
              </w:rPr>
              <w:t xml:space="preserve">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2B03DBBC" w14:textId="77777777" w:rsidTr="00965AEA">
        <w:tc>
          <w:tcPr>
            <w:tcW w:w="841" w:type="dxa"/>
          </w:tcPr>
          <w:p w14:paraId="7FCB83F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2.36.</w:t>
            </w:r>
          </w:p>
        </w:tc>
        <w:tc>
          <w:tcPr>
            <w:tcW w:w="8220" w:type="dxa"/>
          </w:tcPr>
          <w:p w14:paraId="3D92278B" w14:textId="6C45573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ECC/DEC/(06)13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harmonizētiem tehniskajiem nosacījumiem mobilo/fiksēto sakaru tīkliem (MFCN), tajā skaitā IMT, kas nav GSM un EC-GSM </w:t>
            </w:r>
            <w:proofErr w:type="spellStart"/>
            <w:r w:rsidRPr="006E14AC">
              <w:rPr>
                <w:rFonts w:ascii="Times New Roman" w:eastAsia="Times New Roman" w:hAnsi="Times New Roman" w:cs="Times New Roman"/>
                <w:sz w:val="24"/>
                <w:szCs w:val="24"/>
                <w:lang w:eastAsia="lv-LV"/>
              </w:rPr>
              <w:t>IoT</w:t>
            </w:r>
            <w:proofErr w:type="spellEnd"/>
            <w:r w:rsidRPr="006E14AC">
              <w:rPr>
                <w:rFonts w:ascii="Times New Roman" w:eastAsia="Times New Roman" w:hAnsi="Times New Roman" w:cs="Times New Roman"/>
                <w:sz w:val="24"/>
                <w:szCs w:val="24"/>
                <w:lang w:eastAsia="lv-LV"/>
              </w:rPr>
              <w:t>, frekvenču joslās 880–915/925–960 MHz, 1710–1785/1805–1880 MHz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4277B0C5" w14:textId="77777777" w:rsidTr="00965AEA">
        <w:tc>
          <w:tcPr>
            <w:tcW w:w="841" w:type="dxa"/>
          </w:tcPr>
          <w:p w14:paraId="4E1185C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2.37.</w:t>
            </w:r>
          </w:p>
        </w:tc>
        <w:tc>
          <w:tcPr>
            <w:tcW w:w="8220" w:type="dxa"/>
          </w:tcPr>
          <w:p w14:paraId="1145EBE7" w14:textId="7355EC3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ECC/DEC/(07)01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materiālu zondēšanas iekārtu, kas izmanto </w:t>
            </w:r>
            <w:proofErr w:type="spellStart"/>
            <w:r w:rsidRPr="006E14AC">
              <w:rPr>
                <w:rFonts w:ascii="Times New Roman" w:eastAsia="Times New Roman" w:hAnsi="Times New Roman" w:cs="Times New Roman"/>
                <w:sz w:val="24"/>
                <w:szCs w:val="24"/>
                <w:lang w:eastAsia="lv-LV"/>
              </w:rPr>
              <w:t>ultraplatjoslas</w:t>
            </w:r>
            <w:proofErr w:type="spellEnd"/>
            <w:r w:rsidRPr="006E14AC">
              <w:rPr>
                <w:rFonts w:ascii="Times New Roman" w:eastAsia="Times New Roman" w:hAnsi="Times New Roman" w:cs="Times New Roman"/>
                <w:sz w:val="24"/>
                <w:szCs w:val="24"/>
                <w:lang w:eastAsia="lv-LV"/>
              </w:rPr>
              <w:t xml:space="preserve"> (UWB) tehnoloģiju, harmonizētu izmantošanu, atbrīvošanu no individuālām atļaujām un brīvu apriti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 jūlija redakcijā)</w:t>
            </w:r>
          </w:p>
        </w:tc>
      </w:tr>
      <w:tr w:rsidR="006E14AC" w:rsidRPr="006E14AC" w14:paraId="540F2696" w14:textId="77777777" w:rsidTr="00965AEA">
        <w:tc>
          <w:tcPr>
            <w:tcW w:w="841" w:type="dxa"/>
          </w:tcPr>
          <w:p w14:paraId="04C543B8"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2.38.</w:t>
            </w:r>
          </w:p>
        </w:tc>
        <w:tc>
          <w:tcPr>
            <w:tcW w:w="8220" w:type="dxa"/>
          </w:tcPr>
          <w:p w14:paraId="1EC3AEA1" w14:textId="480CA0B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ECC/DEC/(08)01 – ECC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5875–5935 MHz frekvenču joslas harmonizētu izmantošanu ar drošību saistītajām </w:t>
            </w:r>
            <w:proofErr w:type="spellStart"/>
            <w:r w:rsidRPr="006E14AC">
              <w:rPr>
                <w:rFonts w:ascii="Times New Roman" w:eastAsia="Times New Roman" w:hAnsi="Times New Roman" w:cs="Times New Roman"/>
                <w:sz w:val="24"/>
                <w:szCs w:val="24"/>
                <w:lang w:eastAsia="lv-LV"/>
              </w:rPr>
              <w:t>intelektiskajām</w:t>
            </w:r>
            <w:proofErr w:type="spellEnd"/>
            <w:r w:rsidRPr="006E14AC">
              <w:rPr>
                <w:rFonts w:ascii="Times New Roman" w:eastAsia="Times New Roman" w:hAnsi="Times New Roman" w:cs="Times New Roman"/>
                <w:sz w:val="24"/>
                <w:szCs w:val="24"/>
                <w:lang w:eastAsia="lv-LV"/>
              </w:rPr>
              <w:t xml:space="preserve"> transporta sistēmām (ITS)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06</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70B612E1" w14:textId="77777777" w:rsidTr="00965AEA">
        <w:tc>
          <w:tcPr>
            <w:tcW w:w="841" w:type="dxa"/>
          </w:tcPr>
          <w:p w14:paraId="644828F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2.39.</w:t>
            </w:r>
          </w:p>
        </w:tc>
        <w:tc>
          <w:tcPr>
            <w:tcW w:w="8220" w:type="dxa"/>
          </w:tcPr>
          <w:p w14:paraId="3F59BD0B" w14:textId="7D4AC11F" w:rsidR="00CB699B" w:rsidRPr="006E14AC" w:rsidRDefault="00076A2D" w:rsidP="00965AEA">
            <w:pPr>
              <w:spacing w:after="120" w:line="240" w:lineRule="auto"/>
              <w:ind w:right="227"/>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ECC/DEC/(08)08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31</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GSM sistēmu 900 MHz un 1800 MHz joslās, UMTS sistēmu 2 GHz joslā un LTE un 5G NR </w:t>
            </w:r>
            <w:r w:rsidRPr="006E14AC">
              <w:rPr>
                <w:rFonts w:ascii="Times New Roman" w:eastAsia="Times New Roman" w:hAnsi="Times New Roman" w:cs="Times New Roman"/>
                <w:sz w:val="24"/>
                <w:szCs w:val="24"/>
                <w:lang w:eastAsia="lv-LV"/>
              </w:rPr>
              <w:lastRenderedPageBreak/>
              <w:t>ne-AAS sistēmu 1800 MHz un 2,6 GHz (FDD) joslās harmonizētu izmantošanu uz kuģiem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43B04C3D" w14:textId="77777777" w:rsidTr="00965AEA">
        <w:tc>
          <w:tcPr>
            <w:tcW w:w="841" w:type="dxa"/>
          </w:tcPr>
          <w:p w14:paraId="13FF314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2.40.</w:t>
            </w:r>
          </w:p>
        </w:tc>
        <w:tc>
          <w:tcPr>
            <w:tcW w:w="8220" w:type="dxa"/>
          </w:tcPr>
          <w:p w14:paraId="40136902" w14:textId="4055220B" w:rsidR="00CB699B" w:rsidRPr="006E14AC" w:rsidRDefault="00076A2D">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ECC/DEC/(09)01 – ECC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63,72–65,88 GHz frekvenču joslas harmonizētu izmantošanu </w:t>
            </w:r>
            <w:proofErr w:type="spellStart"/>
            <w:r w:rsidRPr="006E14AC">
              <w:rPr>
                <w:rFonts w:ascii="Times New Roman" w:eastAsia="Times New Roman" w:hAnsi="Times New Roman" w:cs="Times New Roman"/>
                <w:sz w:val="24"/>
                <w:szCs w:val="24"/>
                <w:lang w:eastAsia="lv-LV"/>
              </w:rPr>
              <w:t>intelektiskajām</w:t>
            </w:r>
            <w:proofErr w:type="spellEnd"/>
            <w:r w:rsidRPr="006E14AC">
              <w:rPr>
                <w:rFonts w:ascii="Times New Roman" w:eastAsia="Times New Roman" w:hAnsi="Times New Roman" w:cs="Times New Roman"/>
                <w:sz w:val="24"/>
                <w:szCs w:val="24"/>
                <w:lang w:eastAsia="lv-LV"/>
              </w:rPr>
              <w:t xml:space="preserve"> transporta sistēmām (ITS)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redakcijā)</w:t>
            </w:r>
          </w:p>
        </w:tc>
      </w:tr>
      <w:tr w:rsidR="006E14AC" w:rsidRPr="006E14AC" w14:paraId="15D9CF43" w14:textId="77777777" w:rsidTr="00965AEA">
        <w:tc>
          <w:tcPr>
            <w:tcW w:w="841" w:type="dxa"/>
          </w:tcPr>
          <w:p w14:paraId="5D69AA2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2.41.</w:t>
            </w:r>
          </w:p>
        </w:tc>
        <w:tc>
          <w:tcPr>
            <w:tcW w:w="8220" w:type="dxa"/>
          </w:tcPr>
          <w:p w14:paraId="39B2A7BD" w14:textId="7850C19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ECC/DEC/(09)02 – ECC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26</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1610–1626,5 MHz un 2483,5–2500 MHz joslu saskaņotu izmantošanu mobilo satelītu dienesta sistēmās (2012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277FFACC" w14:textId="77777777" w:rsidTr="00965AEA">
        <w:tc>
          <w:tcPr>
            <w:tcW w:w="841" w:type="dxa"/>
          </w:tcPr>
          <w:p w14:paraId="5FF0E96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2.42.</w:t>
            </w:r>
          </w:p>
        </w:tc>
        <w:tc>
          <w:tcPr>
            <w:tcW w:w="8220" w:type="dxa"/>
          </w:tcPr>
          <w:p w14:paraId="3836C067" w14:textId="1E8F969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Lēmums par harmonizētajiem nosacījumiem mobilo/fiksēto sakaru tīklu (MFCN) darbībai 790–862 MHz joslā</w:t>
            </w:r>
          </w:p>
        </w:tc>
      </w:tr>
      <w:tr w:rsidR="006E14AC" w:rsidRPr="006E14AC" w14:paraId="5FC682C1" w14:textId="77777777" w:rsidTr="00965AEA">
        <w:tc>
          <w:tcPr>
            <w:tcW w:w="841" w:type="dxa"/>
          </w:tcPr>
          <w:p w14:paraId="73C5339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2.43.</w:t>
            </w:r>
          </w:p>
        </w:tc>
        <w:tc>
          <w:tcPr>
            <w:tcW w:w="8220" w:type="dxa"/>
          </w:tcPr>
          <w:p w14:paraId="6F59B6CB" w14:textId="3B399AA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mobilo raidošo satelītu terminālu atbrīvošanu no individuālajām atļaujām, brīvu apriti un izmantošanu mobilo satelītu dienesta iedalījumos frekvenču joslā 1613,8</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1626,</w:t>
            </w:r>
            <w:r w:rsidR="00890811" w:rsidRPr="006E14AC">
              <w:rPr>
                <w:rFonts w:ascii="Times New Roman" w:eastAsia="Times New Roman" w:hAnsi="Times New Roman" w:cs="Times New Roman"/>
                <w:sz w:val="24"/>
                <w:szCs w:val="24"/>
                <w:lang w:eastAsia="lv-LV"/>
              </w:rPr>
              <w:t>5 </w:t>
            </w:r>
            <w:r w:rsidRPr="006E14AC">
              <w:rPr>
                <w:rFonts w:ascii="Times New Roman" w:eastAsia="Times New Roman" w:hAnsi="Times New Roman" w:cs="Times New Roman"/>
                <w:sz w:val="24"/>
                <w:szCs w:val="24"/>
                <w:lang w:eastAsia="lv-LV"/>
              </w:rPr>
              <w:t>MHz</w:t>
            </w:r>
          </w:p>
        </w:tc>
      </w:tr>
      <w:tr w:rsidR="006E14AC" w:rsidRPr="006E14AC" w14:paraId="19C51BC6" w14:textId="77777777" w:rsidTr="00965AEA">
        <w:tc>
          <w:tcPr>
            <w:tcW w:w="841" w:type="dxa"/>
          </w:tcPr>
          <w:p w14:paraId="5D930D7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2.44.</w:t>
            </w:r>
          </w:p>
        </w:tc>
        <w:tc>
          <w:tcPr>
            <w:tcW w:w="8220" w:type="dxa"/>
          </w:tcPr>
          <w:p w14:paraId="6D776E08" w14:textId="5BE7655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ECC/DEC/(10)01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fiksētā dienesta, mobilā dienesta un Zemes izpētes satelītu dienesta (pasīvā) koplietošanas nosacījumiem 10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6–10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68 GHz joslā</w:t>
            </w:r>
          </w:p>
        </w:tc>
      </w:tr>
      <w:tr w:rsidR="006E14AC" w:rsidRPr="006E14AC" w14:paraId="346F8EF2" w14:textId="77777777" w:rsidTr="00965AEA">
        <w:tc>
          <w:tcPr>
            <w:tcW w:w="841" w:type="dxa"/>
          </w:tcPr>
          <w:p w14:paraId="39C73FF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2.45.</w:t>
            </w:r>
          </w:p>
        </w:tc>
        <w:tc>
          <w:tcPr>
            <w:tcW w:w="8220" w:type="dxa"/>
          </w:tcPr>
          <w:p w14:paraId="2BECBF31" w14:textId="0BC2AA6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ECC/DEC/(10)02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saderību starp fiksēto satelītu dienestu 30–31 GHz joslā un Zemes izpētes dienestu (pasīvo) 31,3–31,5 GHz joslā</w:t>
            </w:r>
          </w:p>
        </w:tc>
      </w:tr>
      <w:tr w:rsidR="006E14AC" w:rsidRPr="006E14AC" w14:paraId="40FF7365" w14:textId="77777777" w:rsidTr="00965AEA">
        <w:tc>
          <w:tcPr>
            <w:tcW w:w="841" w:type="dxa"/>
          </w:tcPr>
          <w:p w14:paraId="36CBB31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2.46.</w:t>
            </w:r>
          </w:p>
        </w:tc>
        <w:tc>
          <w:tcPr>
            <w:tcW w:w="8220" w:type="dxa"/>
          </w:tcPr>
          <w:p w14:paraId="3FA1E5F3" w14:textId="50976AF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ECC/DEC/(11)01 – ECC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11</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Zemes izpētes satelītu dienesta (pasīvā) aizsardzību 1400–1427 MHz radiofrekvenču joslā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5288C086" w14:textId="77777777" w:rsidTr="00965AEA">
        <w:tc>
          <w:tcPr>
            <w:tcW w:w="841" w:type="dxa"/>
          </w:tcPr>
          <w:p w14:paraId="22FAB48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2.47.</w:t>
            </w:r>
          </w:p>
        </w:tc>
        <w:tc>
          <w:tcPr>
            <w:tcW w:w="8220" w:type="dxa"/>
          </w:tcPr>
          <w:p w14:paraId="06ED23F2" w14:textId="530EB8D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ECC/DEC/(11)02 – ECC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11</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rūpnieciskajiem līmeņa zondēšanas radariem (LPR), kas darbojas 6–8,5 GHz, 24,05–26,5 GHz, 57–64 GHz un 75–85 GHz frekvenču joslās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redakcijā)</w:t>
            </w:r>
          </w:p>
        </w:tc>
      </w:tr>
      <w:tr w:rsidR="006E14AC" w:rsidRPr="006E14AC" w14:paraId="45A6949F" w14:textId="77777777" w:rsidTr="00965AEA">
        <w:tc>
          <w:tcPr>
            <w:tcW w:w="841" w:type="dxa"/>
          </w:tcPr>
          <w:p w14:paraId="634EA4B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2.48.</w:t>
            </w:r>
          </w:p>
        </w:tc>
        <w:tc>
          <w:tcPr>
            <w:tcW w:w="8220" w:type="dxa"/>
          </w:tcPr>
          <w:p w14:paraId="5B1166EE" w14:textId="0AE41B5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ECC/DEC/(11)03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frekvenču harmonizētu izmantošanu personālo sakaru (CB) radioiekārtām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C6EF563" w14:textId="77777777" w:rsidTr="00965AEA">
        <w:tc>
          <w:tcPr>
            <w:tcW w:w="841" w:type="dxa"/>
          </w:tcPr>
          <w:p w14:paraId="22A081A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2.49.</w:t>
            </w:r>
          </w:p>
        </w:tc>
        <w:tc>
          <w:tcPr>
            <w:tcW w:w="8220" w:type="dxa"/>
          </w:tcPr>
          <w:p w14:paraId="029A16F2" w14:textId="422ADE55"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ECC/DEC/(11)06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9</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harmonizētiem kanālu plāniem mobilo/fiksēto sakaru tīkliem (MFCN), kas darbojas 3400–3600 MHz un 3600–3800 MHz radiofrekvenču joslās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26</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r w:rsidR="006E14AC" w:rsidRPr="006E14AC" w14:paraId="18EF7ECC" w14:textId="77777777" w:rsidTr="00965AEA">
        <w:tc>
          <w:tcPr>
            <w:tcW w:w="841" w:type="dxa"/>
          </w:tcPr>
          <w:p w14:paraId="77C8CF0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2.50.</w:t>
            </w:r>
          </w:p>
        </w:tc>
        <w:tc>
          <w:tcPr>
            <w:tcW w:w="8220" w:type="dxa"/>
          </w:tcPr>
          <w:p w14:paraId="6DBA2377" w14:textId="287CFB8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ECC/DEC/(12)01 – ECC 2012</w:t>
            </w:r>
            <w:r w:rsidR="00A52938"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gada</w:t>
            </w:r>
            <w:r w:rsidR="00A52938"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satelītu mobilo galiekārtu, ko vada sakaru tīkli, atbrīvošanu no individuālajām atļaujām, brīvu apriti un lietošanu 1–3 GHz radiofrekvenču joslā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021416C2" w14:textId="77777777" w:rsidTr="00965AEA">
        <w:tc>
          <w:tcPr>
            <w:tcW w:w="841" w:type="dxa"/>
          </w:tcPr>
          <w:p w14:paraId="36E0279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2.51.</w:t>
            </w:r>
          </w:p>
        </w:tc>
        <w:tc>
          <w:tcPr>
            <w:tcW w:w="8220" w:type="dxa"/>
          </w:tcPr>
          <w:p w14:paraId="505C5ACC" w14:textId="24C2DC0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ECC/DEC(12)03 – ECC 2012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harmonizētiem nosacījumiem UWB lietojumiem gaisa kuģos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6EA2ACE2" w14:textId="77777777" w:rsidTr="00965AEA">
        <w:tc>
          <w:tcPr>
            <w:tcW w:w="841" w:type="dxa"/>
          </w:tcPr>
          <w:p w14:paraId="57B9D15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2.52.</w:t>
            </w:r>
          </w:p>
        </w:tc>
        <w:tc>
          <w:tcPr>
            <w:tcW w:w="8220" w:type="dxa"/>
          </w:tcPr>
          <w:p w14:paraId="0EA1C22B" w14:textId="37860B0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ECC/DEC/(13)01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Zemes staciju uz mobilām platformām (ESOMP) saskaņotu lietošanu, brīvu apriti un atbrīvošanu no individuālām atļaujām 17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 GHz un 27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5</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 GHz radiofrekvenču joslās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redakcijā)</w:t>
            </w:r>
          </w:p>
        </w:tc>
      </w:tr>
      <w:tr w:rsidR="006E14AC" w:rsidRPr="006E14AC" w14:paraId="38204437" w14:textId="77777777" w:rsidTr="00965AEA">
        <w:tc>
          <w:tcPr>
            <w:tcW w:w="841" w:type="dxa"/>
          </w:tcPr>
          <w:p w14:paraId="71CF3BF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2.53.</w:t>
            </w:r>
          </w:p>
        </w:tc>
        <w:tc>
          <w:tcPr>
            <w:tcW w:w="8220" w:type="dxa"/>
          </w:tcPr>
          <w:p w14:paraId="363C0889" w14:textId="5030B5E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ECC/DEC/(13)03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2013</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frekvenču joslas 1452–1492 MHz harmonizētu izmantošanu mobilo/fiksēto sakaru tīkliem (MFCN) papildu </w:t>
            </w:r>
            <w:proofErr w:type="spellStart"/>
            <w:r w:rsidRPr="006E14AC">
              <w:rPr>
                <w:rFonts w:ascii="Times New Roman" w:eastAsia="Times New Roman" w:hAnsi="Times New Roman" w:cs="Times New Roman"/>
                <w:sz w:val="24"/>
                <w:szCs w:val="24"/>
                <w:lang w:eastAsia="lv-LV"/>
              </w:rPr>
              <w:t>lejuplīnijai</w:t>
            </w:r>
            <w:proofErr w:type="spellEnd"/>
            <w:r w:rsidRPr="006E14AC">
              <w:rPr>
                <w:rFonts w:ascii="Times New Roman" w:eastAsia="Times New Roman" w:hAnsi="Times New Roman" w:cs="Times New Roman"/>
                <w:sz w:val="24"/>
                <w:szCs w:val="24"/>
                <w:lang w:eastAsia="lv-LV"/>
              </w:rPr>
              <w:t xml:space="preserve"> (MFCN SDL)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366DFD0C" w14:textId="77777777" w:rsidTr="00965AEA">
        <w:tc>
          <w:tcPr>
            <w:tcW w:w="841" w:type="dxa"/>
          </w:tcPr>
          <w:p w14:paraId="48E5C0A8"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2.54.</w:t>
            </w:r>
          </w:p>
        </w:tc>
        <w:tc>
          <w:tcPr>
            <w:tcW w:w="8220" w:type="dxa"/>
          </w:tcPr>
          <w:p w14:paraId="311CBC3B" w14:textId="1A56D59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ECC/DEC/(14)02 – ECC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27</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harmonizētiem tehniskajiem un normatīvajiem nosacījumiem 2300–2400 MHz joslas izmantošanai mobilo/fiksēto sakaru tīkliem (MFCN)</w:t>
            </w:r>
            <w:r w:rsidR="003521C2" w:rsidRPr="006E14AC">
              <w:rPr>
                <w:rFonts w:ascii="Times New Roman" w:eastAsia="Times New Roman" w:hAnsi="Times New Roman" w:cs="Times New Roman"/>
                <w:sz w:val="24"/>
                <w:szCs w:val="24"/>
                <w:lang w:eastAsia="lv-LV"/>
              </w:rPr>
              <w:t xml:space="preserve"> (2023</w:t>
            </w:r>
            <w:r w:rsidR="004A6E54" w:rsidRPr="006E14AC">
              <w:rPr>
                <w:rFonts w:ascii="Times New Roman" w:eastAsia="Times New Roman" w:hAnsi="Times New Roman" w:cs="Times New Roman"/>
                <w:sz w:val="24"/>
                <w:szCs w:val="24"/>
                <w:lang w:eastAsia="lv-LV"/>
              </w:rPr>
              <w:t xml:space="preserve">. gada </w:t>
            </w:r>
            <w:r w:rsidR="003521C2"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3521C2" w:rsidRPr="006E14AC">
              <w:rPr>
                <w:rFonts w:ascii="Times New Roman" w:eastAsia="Times New Roman" w:hAnsi="Times New Roman" w:cs="Times New Roman"/>
                <w:sz w:val="24"/>
                <w:szCs w:val="24"/>
                <w:lang w:eastAsia="lv-LV"/>
              </w:rPr>
              <w:t>redakcijā)</w:t>
            </w:r>
          </w:p>
        </w:tc>
      </w:tr>
      <w:tr w:rsidR="006E14AC" w:rsidRPr="006E14AC" w14:paraId="52FEED5C" w14:textId="77777777" w:rsidTr="00965AEA">
        <w:tc>
          <w:tcPr>
            <w:tcW w:w="841" w:type="dxa"/>
          </w:tcPr>
          <w:p w14:paraId="3491987E"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2.55.</w:t>
            </w:r>
          </w:p>
        </w:tc>
        <w:tc>
          <w:tcPr>
            <w:tcW w:w="8220" w:type="dxa"/>
          </w:tcPr>
          <w:p w14:paraId="5093D929" w14:textId="41A35CA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ECC/DEC/(15)01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harmonizētiem tehniskajiem nosacījumiem mobilo/fiksēto sakaru tīkliem (MFCN) 694–790 MHz joslā, ieskaitot radiofrekvenču sapāroto kanālu plānu (frekvenčdales duplekss 2</w:t>
            </w:r>
            <w:r w:rsidR="00890811" w:rsidRPr="006E14AC">
              <w:rPr>
                <w:rFonts w:ascii="Times New Roman" w:eastAsia="Times New Roman" w:hAnsi="Times New Roman" w:cs="Times New Roman"/>
                <w:sz w:val="24"/>
                <w:szCs w:val="24"/>
                <w:lang w:eastAsia="lv-LV"/>
              </w:rPr>
              <w:t> </w:t>
            </w:r>
            <w:r w:rsidRPr="006E14AC">
              <w:rPr>
                <w:rFonts w:ascii="Times New Roman" w:eastAsia="Times New Roman" w:hAnsi="Times New Roman" w:cs="Times New Roman"/>
                <w:sz w:val="24"/>
                <w:szCs w:val="24"/>
                <w:lang w:eastAsia="lv-LV"/>
              </w:rPr>
              <w:t>x</w:t>
            </w:r>
            <w:r w:rsidR="00890811" w:rsidRPr="006E14AC">
              <w:rPr>
                <w:rFonts w:ascii="Times New Roman" w:eastAsia="Times New Roman" w:hAnsi="Times New Roman" w:cs="Times New Roman"/>
                <w:sz w:val="24"/>
                <w:szCs w:val="24"/>
                <w:lang w:eastAsia="lv-LV"/>
              </w:rPr>
              <w:t> </w:t>
            </w:r>
            <w:r w:rsidRPr="006E14AC">
              <w:rPr>
                <w:rFonts w:ascii="Times New Roman" w:eastAsia="Times New Roman" w:hAnsi="Times New Roman" w:cs="Times New Roman"/>
                <w:sz w:val="24"/>
                <w:szCs w:val="24"/>
                <w:lang w:eastAsia="lv-LV"/>
              </w:rPr>
              <w:t>30 MHz) un izvēles radiofrekvenču nesapāroto kanālu plānu (papildu lejuplīnija)</w:t>
            </w:r>
          </w:p>
        </w:tc>
      </w:tr>
      <w:tr w:rsidR="006E14AC" w:rsidRPr="006E14AC" w14:paraId="4679639E" w14:textId="77777777" w:rsidTr="00965AEA">
        <w:tc>
          <w:tcPr>
            <w:tcW w:w="841" w:type="dxa"/>
          </w:tcPr>
          <w:p w14:paraId="18E4B8BE"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2.56.</w:t>
            </w:r>
          </w:p>
        </w:tc>
        <w:tc>
          <w:tcPr>
            <w:tcW w:w="8220" w:type="dxa"/>
          </w:tcPr>
          <w:p w14:paraId="19900E18" w14:textId="3478FFF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ECC/DEC/(15)04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w:t>
            </w:r>
            <w:r w:rsidR="004A6E54" w:rsidRPr="006E14AC">
              <w:rPr>
                <w:rFonts w:ascii="Times New Roman" w:eastAsia="Times New Roman" w:hAnsi="Times New Roman" w:cs="Times New Roman"/>
                <w:sz w:val="24"/>
                <w:szCs w:val="24"/>
                <w:lang w:eastAsia="lv-LV"/>
              </w:rPr>
              <w:t xml:space="preserve">. jūlija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sauszemes, jūras un gaisa kuģniecības Zemes staciju uz mobilām platformām (ESOMP) darbību ar NGSO FSS satelītu sistēmām 17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 GHz, 27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5</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29</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 GHz un 29</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5</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 GHz radiofrekvenču joslās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20</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11232A6F" w14:textId="77777777" w:rsidTr="00965AEA">
        <w:tc>
          <w:tcPr>
            <w:tcW w:w="841" w:type="dxa"/>
          </w:tcPr>
          <w:p w14:paraId="39EF876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2.57.</w:t>
            </w:r>
          </w:p>
        </w:tc>
        <w:tc>
          <w:tcPr>
            <w:tcW w:w="8220" w:type="dxa"/>
          </w:tcPr>
          <w:p w14:paraId="35296C0E" w14:textId="4AFD843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ECC/DEC/(15)05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w:t>
            </w:r>
            <w:r w:rsidR="004A6E54" w:rsidRPr="006E14AC">
              <w:rPr>
                <w:rFonts w:ascii="Times New Roman" w:eastAsia="Times New Roman" w:hAnsi="Times New Roman" w:cs="Times New Roman"/>
                <w:sz w:val="24"/>
                <w:szCs w:val="24"/>
                <w:lang w:eastAsia="lv-LV"/>
              </w:rPr>
              <w:t xml:space="preserve">. jūlija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"Harmonizētais frekvenču diapazons 446,0–446,2 MHz, tehniskie parametri, atbrīvojums no individuālām atļaujām un brīva pārvietošana, kā arī analogo un digitālo PMR 446 lietojumu izmantošana"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2BFA8211" w14:textId="77777777" w:rsidTr="00965AEA">
        <w:tc>
          <w:tcPr>
            <w:tcW w:w="841" w:type="dxa"/>
          </w:tcPr>
          <w:p w14:paraId="0D1F9388"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2.58.</w:t>
            </w:r>
          </w:p>
        </w:tc>
        <w:tc>
          <w:tcPr>
            <w:tcW w:w="8220" w:type="dxa"/>
          </w:tcPr>
          <w:p w14:paraId="0F6B8C85" w14:textId="20FF5CE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ECC/DEC/(16)01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76</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77 GHz harmonizēto frekvenču joslu, tehniskajiem parametriem, atbrīvošanu no individuālajām atļaujām, brīvu apriti un lietošanu šķēršļu noteikšanas radariem helikopteros (</w:t>
            </w:r>
            <w:proofErr w:type="spellStart"/>
            <w:r w:rsidRPr="006E14AC">
              <w:rPr>
                <w:rFonts w:ascii="Times New Roman" w:eastAsia="Times New Roman" w:hAnsi="Times New Roman" w:cs="Times New Roman"/>
                <w:sz w:val="24"/>
                <w:szCs w:val="24"/>
                <w:lang w:eastAsia="lv-LV"/>
              </w:rPr>
              <w:t>rotorplānos</w:t>
            </w:r>
            <w:proofErr w:type="spellEnd"/>
            <w:r w:rsidRPr="006E14AC">
              <w:rPr>
                <w:rFonts w:ascii="Times New Roman" w:eastAsia="Times New Roman" w:hAnsi="Times New Roman" w:cs="Times New Roman"/>
                <w:sz w:val="24"/>
                <w:szCs w:val="24"/>
                <w:lang w:eastAsia="lv-LV"/>
              </w:rPr>
              <w:t>)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18</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52A7241F" w14:textId="77777777" w:rsidTr="00965AEA">
        <w:tc>
          <w:tcPr>
            <w:tcW w:w="841" w:type="dxa"/>
          </w:tcPr>
          <w:p w14:paraId="445C7F0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2.59.</w:t>
            </w:r>
          </w:p>
        </w:tc>
        <w:tc>
          <w:tcPr>
            <w:tcW w:w="8220" w:type="dxa"/>
          </w:tcPr>
          <w:p w14:paraId="2B82C408" w14:textId="66C4F37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ECC/DEC/(16)02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harmonizētiem tehniskajiem nosacījumiem un frekvenču joslām Platjoslas sabiedrības drošības un katastrofu seku novēršanas (BB-PPDR) sistēmām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039409F4" w14:textId="77777777" w:rsidTr="00965AEA">
        <w:tc>
          <w:tcPr>
            <w:tcW w:w="841" w:type="dxa"/>
          </w:tcPr>
          <w:p w14:paraId="7121A27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2.60.</w:t>
            </w:r>
          </w:p>
        </w:tc>
        <w:tc>
          <w:tcPr>
            <w:tcW w:w="8220" w:type="dxa"/>
          </w:tcPr>
          <w:p w14:paraId="3262639B" w14:textId="17B7A1F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ECC/DEC/(17)04 – ECC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fiksēto Zemes staciju, kas darbojas NGSO FSS satelītu sistēmās 10,7–12,75 GHz un 14,0–14,50 GHz radiofrekvenču joslās, saskaņotu lietošanu un atbrīvošanu no individuālajām atļaujām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54542019" w14:textId="77777777" w:rsidTr="00965AEA">
        <w:tc>
          <w:tcPr>
            <w:tcW w:w="841" w:type="dxa"/>
          </w:tcPr>
          <w:p w14:paraId="614E848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2.61.</w:t>
            </w:r>
          </w:p>
        </w:tc>
        <w:tc>
          <w:tcPr>
            <w:tcW w:w="8220" w:type="dxa"/>
          </w:tcPr>
          <w:p w14:paraId="1C3FBD76" w14:textId="66FAE2F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ECC/DEC/(17)06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frekvenču joslu 1427–1452 MHz un 1492–1518 MHz harmonizētu izmantošanu mobilo/fiksēto sakaru tīkliem (MFCN) papildu </w:t>
            </w:r>
            <w:proofErr w:type="spellStart"/>
            <w:r w:rsidRPr="006E14AC">
              <w:rPr>
                <w:rFonts w:ascii="Times New Roman" w:eastAsia="Times New Roman" w:hAnsi="Times New Roman" w:cs="Times New Roman"/>
                <w:sz w:val="24"/>
                <w:szCs w:val="24"/>
                <w:lang w:eastAsia="lv-LV"/>
              </w:rPr>
              <w:t>lejuplīnijai</w:t>
            </w:r>
            <w:proofErr w:type="spellEnd"/>
            <w:r w:rsidRPr="006E14AC">
              <w:rPr>
                <w:rFonts w:ascii="Times New Roman" w:eastAsia="Times New Roman" w:hAnsi="Times New Roman" w:cs="Times New Roman"/>
                <w:sz w:val="24"/>
                <w:szCs w:val="24"/>
                <w:lang w:eastAsia="lv-LV"/>
              </w:rPr>
              <w:t xml:space="preserve"> (MFCN SDL)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6E14AC" w:rsidRPr="006E14AC" w14:paraId="2FC8FC7D" w14:textId="77777777" w:rsidTr="00965AEA">
        <w:tc>
          <w:tcPr>
            <w:tcW w:w="841" w:type="dxa"/>
          </w:tcPr>
          <w:p w14:paraId="3A603CD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2.62.</w:t>
            </w:r>
          </w:p>
        </w:tc>
        <w:tc>
          <w:tcPr>
            <w:tcW w:w="8220" w:type="dxa"/>
          </w:tcPr>
          <w:p w14:paraId="190A00AF" w14:textId="0878291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ECC/DEC/(18)04 – ECC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jūlija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sauszemes kustībā esošu Zemes staciju (ESIM) saskaņotu lietošanu, atbrīvošanu no individuālām atļaujām, brīvu apriti un lietošanu frekvenču joslās 10,7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12,75 GHz un 14,0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14,5</w:t>
            </w:r>
            <w:r w:rsidR="00B85C8C" w:rsidRPr="006E14AC">
              <w:rPr>
                <w:rFonts w:ascii="Times New Roman" w:eastAsia="Times New Roman" w:hAnsi="Times New Roman" w:cs="Times New Roman"/>
                <w:sz w:val="24"/>
                <w:szCs w:val="24"/>
                <w:lang w:eastAsia="lv-LV"/>
              </w:rPr>
              <w:t> </w:t>
            </w:r>
            <w:r w:rsidRPr="006E14AC">
              <w:rPr>
                <w:rFonts w:ascii="Times New Roman" w:eastAsia="Times New Roman" w:hAnsi="Times New Roman" w:cs="Times New Roman"/>
                <w:sz w:val="24"/>
                <w:szCs w:val="24"/>
                <w:lang w:eastAsia="lv-LV"/>
              </w:rPr>
              <w:t>GHz</w:t>
            </w:r>
          </w:p>
        </w:tc>
      </w:tr>
      <w:tr w:rsidR="006E14AC" w:rsidRPr="006E14AC" w14:paraId="636B8E9F" w14:textId="77777777" w:rsidTr="00965AEA">
        <w:tc>
          <w:tcPr>
            <w:tcW w:w="841" w:type="dxa"/>
          </w:tcPr>
          <w:p w14:paraId="4C8B02C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2.63.</w:t>
            </w:r>
          </w:p>
        </w:tc>
        <w:tc>
          <w:tcPr>
            <w:tcW w:w="8220" w:type="dxa"/>
          </w:tcPr>
          <w:p w14:paraId="0BF57A90" w14:textId="4365A14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ECC/DEC/(18)05 – ECC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jūlija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kustībā esošu Zemes staciju (ESIM) saskaņotu lietošanu, atbrīvošanu no individuālām atļaujām, brīvu apriti un lietošanu frekvenču joslās 10,7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12,75 GHz un 14,0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14,5 GHz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25805E56" w14:textId="77777777" w:rsidTr="00965AEA">
        <w:tc>
          <w:tcPr>
            <w:tcW w:w="841" w:type="dxa"/>
          </w:tcPr>
          <w:p w14:paraId="304B5F5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2.64.</w:t>
            </w:r>
          </w:p>
        </w:tc>
        <w:tc>
          <w:tcPr>
            <w:tcW w:w="8220" w:type="dxa"/>
          </w:tcPr>
          <w:p w14:paraId="5694CCC4" w14:textId="6FB3D5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ECC/DEC/(18)06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 xml:space="preserve">Lēmums par harmonizētiem </w:t>
            </w:r>
            <w:r w:rsidRPr="006E14AC">
              <w:rPr>
                <w:rFonts w:ascii="Times New Roman" w:eastAsia="Times New Roman" w:hAnsi="Times New Roman" w:cs="Times New Roman"/>
                <w:spacing w:val="-2"/>
                <w:sz w:val="24"/>
                <w:szCs w:val="24"/>
                <w:lang w:eastAsia="lv-LV"/>
              </w:rPr>
              <w:t>tehniskajiem nosacījumiem mobilo/fiksēto sakaru tīkliem (MFCN) 24,25–27,5 GHz</w:t>
            </w:r>
            <w:r w:rsidRPr="006E14AC">
              <w:rPr>
                <w:rFonts w:ascii="Times New Roman" w:eastAsia="Times New Roman" w:hAnsi="Times New Roman" w:cs="Times New Roman"/>
                <w:sz w:val="24"/>
                <w:szCs w:val="24"/>
                <w:lang w:eastAsia="lv-LV"/>
              </w:rPr>
              <w:t xml:space="preserve"> joslā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20</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092755F6" w14:textId="77777777" w:rsidTr="00965AEA">
        <w:tc>
          <w:tcPr>
            <w:tcW w:w="841" w:type="dxa"/>
          </w:tcPr>
          <w:p w14:paraId="48AFC8A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2.65.</w:t>
            </w:r>
          </w:p>
        </w:tc>
        <w:tc>
          <w:tcPr>
            <w:tcW w:w="8220" w:type="dxa"/>
          </w:tcPr>
          <w:p w14:paraId="1AB0BBF5" w14:textId="5B865D2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ECC/DEC/(19)02–ECC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sauszemes mobilajām sistēmām frekvenču diapazonos 68</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87,5 MHz, 146</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174 MHz, 406,1</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410 MHz, 410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430 MHz, 440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450 MHz un 450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470 MHz</w:t>
            </w:r>
          </w:p>
        </w:tc>
      </w:tr>
      <w:tr w:rsidR="006E14AC" w:rsidRPr="006E14AC" w14:paraId="2B385979" w14:textId="77777777" w:rsidTr="00965AEA">
        <w:tc>
          <w:tcPr>
            <w:tcW w:w="841" w:type="dxa"/>
          </w:tcPr>
          <w:p w14:paraId="45197B6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2.66.</w:t>
            </w:r>
          </w:p>
        </w:tc>
        <w:tc>
          <w:tcPr>
            <w:tcW w:w="8220" w:type="dxa"/>
          </w:tcPr>
          <w:p w14:paraId="7DA12C95" w14:textId="60904E4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ECC/DEC/(19)03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ITU </w:t>
            </w:r>
            <w:proofErr w:type="spellStart"/>
            <w:r w:rsidRPr="006E14AC">
              <w:rPr>
                <w:rFonts w:ascii="Times New Roman" w:eastAsia="Times New Roman" w:hAnsi="Times New Roman" w:cs="Times New Roman"/>
                <w:sz w:val="24"/>
                <w:szCs w:val="24"/>
                <w:lang w:eastAsia="lv-LV"/>
              </w:rPr>
              <w:t>Radionoteikumu</w:t>
            </w:r>
            <w:proofErr w:type="spellEnd"/>
            <w:r w:rsidRPr="006E14AC">
              <w:rPr>
                <w:rFonts w:ascii="Times New Roman" w:eastAsia="Times New Roman" w:hAnsi="Times New Roman" w:cs="Times New Roman"/>
                <w:sz w:val="24"/>
                <w:szCs w:val="24"/>
                <w:lang w:eastAsia="lv-LV"/>
              </w:rPr>
              <w:t xml:space="preserve"> 18. pielikuma kanālu (raidošās radiofrekvences jūras mobilajā VHF joslā) harmonizētu izmantošanu</w:t>
            </w:r>
          </w:p>
        </w:tc>
      </w:tr>
      <w:tr w:rsidR="006E14AC" w:rsidRPr="006E14AC" w14:paraId="5FBCD7E3" w14:textId="77777777" w:rsidTr="00965AEA">
        <w:tc>
          <w:tcPr>
            <w:tcW w:w="841" w:type="dxa"/>
          </w:tcPr>
          <w:p w14:paraId="2BCD4ED9" w14:textId="77777777" w:rsidR="00CB699B" w:rsidRPr="006E14AC" w:rsidRDefault="00076A2D" w:rsidP="0063755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w:t>
            </w:r>
            <w:r w:rsidR="0063755C" w:rsidRPr="006E14AC">
              <w:rPr>
                <w:rFonts w:ascii="Times New Roman" w:eastAsia="Times New Roman" w:hAnsi="Times New Roman" w:cs="Times New Roman"/>
                <w:sz w:val="24"/>
                <w:szCs w:val="24"/>
                <w:lang w:eastAsia="lv-LV"/>
              </w:rPr>
              <w:t>67</w:t>
            </w:r>
            <w:r w:rsidRPr="006E14AC">
              <w:rPr>
                <w:rFonts w:ascii="Times New Roman" w:eastAsia="Times New Roman" w:hAnsi="Times New Roman" w:cs="Times New Roman"/>
                <w:sz w:val="24"/>
                <w:szCs w:val="24"/>
                <w:lang w:eastAsia="lv-LV"/>
              </w:rPr>
              <w:t>.</w:t>
            </w:r>
          </w:p>
        </w:tc>
        <w:tc>
          <w:tcPr>
            <w:tcW w:w="8220" w:type="dxa"/>
          </w:tcPr>
          <w:p w14:paraId="7E56B724" w14:textId="4CB0042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ECC/DEC/(20)01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20</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frekvenču joslas 5945</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6425 MHz harmonizētu izmantošanu bezvadu piekļuves sistēmām, ieskaitot lokālos tīklus (WAS/RLAN)</w:t>
            </w:r>
          </w:p>
        </w:tc>
      </w:tr>
      <w:tr w:rsidR="006E14AC" w:rsidRPr="006E14AC" w14:paraId="7C51302F" w14:textId="77777777" w:rsidTr="00965AEA">
        <w:tc>
          <w:tcPr>
            <w:tcW w:w="841" w:type="dxa"/>
          </w:tcPr>
          <w:p w14:paraId="6AB30A63" w14:textId="77777777" w:rsidR="00CB699B" w:rsidRPr="006E14AC" w:rsidRDefault="00076A2D" w:rsidP="0063755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w:t>
            </w:r>
            <w:r w:rsidR="0063755C" w:rsidRPr="006E14AC">
              <w:rPr>
                <w:rFonts w:ascii="Times New Roman" w:eastAsia="Times New Roman" w:hAnsi="Times New Roman" w:cs="Times New Roman"/>
                <w:sz w:val="24"/>
                <w:szCs w:val="24"/>
                <w:lang w:eastAsia="lv-LV"/>
              </w:rPr>
              <w:t>68</w:t>
            </w:r>
            <w:r w:rsidRPr="006E14AC">
              <w:rPr>
                <w:rFonts w:ascii="Times New Roman" w:eastAsia="Times New Roman" w:hAnsi="Times New Roman" w:cs="Times New Roman"/>
                <w:sz w:val="24"/>
                <w:szCs w:val="24"/>
                <w:lang w:eastAsia="lv-LV"/>
              </w:rPr>
              <w:t>.</w:t>
            </w:r>
          </w:p>
        </w:tc>
        <w:tc>
          <w:tcPr>
            <w:tcW w:w="8220" w:type="dxa"/>
          </w:tcPr>
          <w:p w14:paraId="71A25985" w14:textId="6CDB32E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ECC/DEC/(20)02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ECC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20</w:t>
            </w:r>
            <w:r w:rsidR="004A6E54" w:rsidRPr="006E14AC">
              <w:rPr>
                <w:rFonts w:ascii="Times New Roman" w:eastAsia="Times New Roman" w:hAnsi="Times New Roman" w:cs="Times New Roman"/>
                <w:sz w:val="24"/>
                <w:szCs w:val="24"/>
                <w:lang w:eastAsia="lv-LV"/>
              </w:rPr>
              <w:t xml:space="preserve">.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874</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880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 MHz un 919</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925</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 MHz sapāroto frekvenču joslu un 1900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1910 MHz nesapārotās frekvenču joslas harmonizētu izmantošanu dzelzceļu sakaru sistēmām (RMR)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bl>
    <w:p w14:paraId="46C2E974" w14:textId="77777777" w:rsidR="00B831C6" w:rsidRPr="006E14AC" w:rsidRDefault="008E0D70" w:rsidP="00965AEA">
      <w:pPr>
        <w:spacing w:before="100" w:beforeAutospacing="1" w:after="100" w:afterAutospacing="1" w:line="240" w:lineRule="auto"/>
        <w:rPr>
          <w:rFonts w:ascii="Times New Roman" w:eastAsia="Times New Roman" w:hAnsi="Times New Roman" w:cs="Times New Roman"/>
          <w:b/>
          <w:bCs/>
          <w:sz w:val="24"/>
          <w:szCs w:val="24"/>
          <w:lang w:eastAsia="lv-LV"/>
        </w:rPr>
      </w:pPr>
      <w:r w:rsidRPr="006E14AC">
        <w:rPr>
          <w:rFonts w:ascii="Times New Roman" w:eastAsia="Times New Roman" w:hAnsi="Times New Roman" w:cs="Times New Roman"/>
          <w:b/>
          <w:bCs/>
          <w:sz w:val="24"/>
          <w:szCs w:val="24"/>
          <w:lang w:eastAsia="lv-LV"/>
        </w:rPr>
        <w:t xml:space="preserve">3. </w:t>
      </w:r>
      <w:r w:rsidR="00961D9C" w:rsidRPr="006E14AC">
        <w:rPr>
          <w:rFonts w:ascii="Times New Roman" w:eastAsia="Times New Roman" w:hAnsi="Times New Roman" w:cs="Times New Roman"/>
          <w:b/>
          <w:bCs/>
          <w:sz w:val="24"/>
          <w:szCs w:val="24"/>
          <w:lang w:eastAsia="lv-LV"/>
        </w:rPr>
        <w:t xml:space="preserve">CEPT </w:t>
      </w:r>
      <w:r w:rsidR="00B831C6" w:rsidRPr="006E14AC">
        <w:rPr>
          <w:rFonts w:ascii="Times New Roman" w:eastAsia="Times New Roman" w:hAnsi="Times New Roman" w:cs="Times New Roman"/>
          <w:b/>
          <w:bCs/>
          <w:sz w:val="24"/>
          <w:szCs w:val="24"/>
          <w:lang w:eastAsia="lv-LV"/>
        </w:rPr>
        <w:t>ECC (ERC) rekomendācija vai ziņojums</w:t>
      </w:r>
    </w:p>
    <w:tbl>
      <w:tblPr>
        <w:tblStyle w:val="TableGrid"/>
        <w:tblW w:w="0" w:type="auto"/>
        <w:tblLook w:val="04A0" w:firstRow="1" w:lastRow="0" w:firstColumn="1" w:lastColumn="0" w:noHBand="0" w:noVBand="1"/>
      </w:tblPr>
      <w:tblGrid>
        <w:gridCol w:w="846"/>
        <w:gridCol w:w="8215"/>
      </w:tblGrid>
      <w:tr w:rsidR="006E14AC" w:rsidRPr="006E14AC" w14:paraId="5E70DCD8" w14:textId="77777777" w:rsidTr="00965AEA">
        <w:tc>
          <w:tcPr>
            <w:tcW w:w="846" w:type="dxa"/>
            <w:vAlign w:val="center"/>
          </w:tcPr>
          <w:p w14:paraId="3E82EAA5" w14:textId="77777777" w:rsidR="00CB699B" w:rsidRPr="006E14AC" w:rsidRDefault="001F5866"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3F709E2C"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7AE0484E" w14:textId="77777777" w:rsidTr="00A52938">
        <w:tc>
          <w:tcPr>
            <w:tcW w:w="846" w:type="dxa"/>
          </w:tcPr>
          <w:p w14:paraId="2AD522A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w:t>
            </w:r>
          </w:p>
        </w:tc>
        <w:tc>
          <w:tcPr>
            <w:tcW w:w="8215" w:type="dxa"/>
          </w:tcPr>
          <w:p w14:paraId="4D9F7F37" w14:textId="4EFD508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12-01 – Harmonizēts radiofrekvenču kanālu plānojums zemes analogajām un ciparu fiksētajām sistēmām, kas izmanto 37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39,5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F4695F2" w14:textId="77777777" w:rsidTr="00A52938">
        <w:tc>
          <w:tcPr>
            <w:tcW w:w="846" w:type="dxa"/>
          </w:tcPr>
          <w:p w14:paraId="0942C4B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p>
        </w:tc>
        <w:tc>
          <w:tcPr>
            <w:tcW w:w="8215" w:type="dxa"/>
          </w:tcPr>
          <w:p w14:paraId="61803A39" w14:textId="4F8F5F7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13-01 – Ieteicamais kanālu plānojums fiksētā dienesta sistēmām, kas darbojas 1–2,3 GHz radiofrekvenču joslā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5A76314B" w14:textId="77777777" w:rsidTr="00A52938">
        <w:tc>
          <w:tcPr>
            <w:tcW w:w="846" w:type="dxa"/>
          </w:tcPr>
          <w:p w14:paraId="21F3145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3.3.</w:t>
            </w:r>
          </w:p>
        </w:tc>
        <w:tc>
          <w:tcPr>
            <w:tcW w:w="8215" w:type="dxa"/>
          </w:tcPr>
          <w:p w14:paraId="05604CFD" w14:textId="0BE4E8B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T/R 13-02 </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Ieteicamais kanālu plānojums fiksētajam dienestam 22,0–29,5 GHz joslā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3B8DCA4" w14:textId="77777777" w:rsidTr="00A52938">
        <w:tc>
          <w:tcPr>
            <w:tcW w:w="846" w:type="dxa"/>
          </w:tcPr>
          <w:p w14:paraId="034DEA9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3.4.</w:t>
            </w:r>
          </w:p>
        </w:tc>
        <w:tc>
          <w:tcPr>
            <w:tcW w:w="8215" w:type="dxa"/>
          </w:tcPr>
          <w:p w14:paraId="5F2E0669" w14:textId="4E031A1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25-08 – Sauszemes mobilā dienesta radiofrekvenču plānošana un koordinācija 29,7–470 MHz joslā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28</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161DFEAB" w14:textId="77777777" w:rsidTr="00A52938">
        <w:tc>
          <w:tcPr>
            <w:tcW w:w="846" w:type="dxa"/>
          </w:tcPr>
          <w:p w14:paraId="65F538A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3.5.</w:t>
            </w:r>
          </w:p>
        </w:tc>
        <w:tc>
          <w:tcPr>
            <w:tcW w:w="8215" w:type="dxa"/>
          </w:tcPr>
          <w:p w14:paraId="0B8C0810" w14:textId="544795D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61-01 – CEPT radioamatieru atļauja (2022</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4A541AF3" w14:textId="77777777" w:rsidTr="00A52938">
        <w:tc>
          <w:tcPr>
            <w:tcW w:w="846" w:type="dxa"/>
          </w:tcPr>
          <w:p w14:paraId="17BFAA1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3.6.</w:t>
            </w:r>
          </w:p>
        </w:tc>
        <w:tc>
          <w:tcPr>
            <w:tcW w:w="8215" w:type="dxa"/>
          </w:tcPr>
          <w:p w14:paraId="2EECB7CE" w14:textId="5FD784D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61-02 – Harmonizētās radioamatieru eksaminācijas apliecības (2020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12</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05690312" w14:textId="77777777" w:rsidTr="00A52938">
        <w:tc>
          <w:tcPr>
            <w:tcW w:w="846" w:type="dxa"/>
          </w:tcPr>
          <w:p w14:paraId="179AB03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3.7.</w:t>
            </w:r>
          </w:p>
        </w:tc>
        <w:tc>
          <w:tcPr>
            <w:tcW w:w="8215" w:type="dxa"/>
          </w:tcPr>
          <w:p w14:paraId="246658CA" w14:textId="0F6D3F1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12-02 – Harmonizēts radiofrekvenču kanālu plānojums zemes analogajām un ciparu fiksētajām sistēmām, kuras izmanto joslu no 12,75 GHz līdz 13,25 GHz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429F12B" w14:textId="77777777" w:rsidTr="00A52938">
        <w:tc>
          <w:tcPr>
            <w:tcW w:w="846" w:type="dxa"/>
          </w:tcPr>
          <w:p w14:paraId="28A77A2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3.8.</w:t>
            </w:r>
          </w:p>
        </w:tc>
        <w:tc>
          <w:tcPr>
            <w:tcW w:w="8215" w:type="dxa"/>
          </w:tcPr>
          <w:p w14:paraId="3C06990A" w14:textId="37D5801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12-03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Harmonizēts radiofrekvenču kanālu plānojums zemes ciparu fiksētajām sistēmām, kuras izmanto joslu no 17,7 GHz līdz 19,7 GHz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DC3B343" w14:textId="77777777" w:rsidTr="00A52938">
        <w:tc>
          <w:tcPr>
            <w:tcW w:w="846" w:type="dxa"/>
          </w:tcPr>
          <w:p w14:paraId="3815E4F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3.9.</w:t>
            </w:r>
          </w:p>
        </w:tc>
        <w:tc>
          <w:tcPr>
            <w:tcW w:w="8215" w:type="dxa"/>
          </w:tcPr>
          <w:p w14:paraId="3AFE02F1" w14:textId="75211FF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12-05 – Harmonizēts radiofrekvenču kanālu plānojums zemes ciparu fiksētajām sistēmām, kuras izmanto 10,0–10,68 GHz joslu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2575A7A0" w14:textId="77777777" w:rsidTr="00A52938">
        <w:tc>
          <w:tcPr>
            <w:tcW w:w="846" w:type="dxa"/>
          </w:tcPr>
          <w:p w14:paraId="17C0F7C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3.10.</w:t>
            </w:r>
          </w:p>
        </w:tc>
        <w:tc>
          <w:tcPr>
            <w:tcW w:w="8215" w:type="dxa"/>
          </w:tcPr>
          <w:p w14:paraId="60EDFFA8" w14:textId="4244F7B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12-06 – Ieteicamais kanālu plānojums fiksētā dienesta ciparu sistēmām, kuras izmanto 10,7–11,7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120B5EE0" w14:textId="77777777" w:rsidTr="00965AEA">
        <w:tc>
          <w:tcPr>
            <w:tcW w:w="846" w:type="dxa"/>
          </w:tcPr>
          <w:p w14:paraId="2DAC659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3.11.</w:t>
            </w:r>
          </w:p>
        </w:tc>
        <w:tc>
          <w:tcPr>
            <w:tcW w:w="8215" w:type="dxa"/>
          </w:tcPr>
          <w:p w14:paraId="49C1273E" w14:textId="02B92E8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12-07 – Harmonizēts radiofrekvenču kanālu plānojums zemes ciparu fiksētajām sistēmām, kuras izmanto duplekso joslu 14,5–14,62 GHz un 15,23–15,35 GHz</w:t>
            </w:r>
          </w:p>
        </w:tc>
      </w:tr>
      <w:tr w:rsidR="006E14AC" w:rsidRPr="006E14AC" w14:paraId="76C24A63" w14:textId="77777777" w:rsidTr="00A52938">
        <w:tc>
          <w:tcPr>
            <w:tcW w:w="846" w:type="dxa"/>
          </w:tcPr>
          <w:p w14:paraId="594379A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3.12.</w:t>
            </w:r>
          </w:p>
        </w:tc>
        <w:tc>
          <w:tcPr>
            <w:tcW w:w="8215" w:type="dxa"/>
          </w:tcPr>
          <w:p w14:paraId="0CA02544" w14:textId="7D9F71E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12-11 – Radiofrekvenču kanālu plānojums fiksētā dienesta sistēmām, kuras izmanto 51,4–52,6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C87780A" w14:textId="77777777" w:rsidTr="00A52938">
        <w:tc>
          <w:tcPr>
            <w:tcW w:w="846" w:type="dxa"/>
          </w:tcPr>
          <w:p w14:paraId="16ACAA0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3.13.</w:t>
            </w:r>
          </w:p>
        </w:tc>
        <w:tc>
          <w:tcPr>
            <w:tcW w:w="8215" w:type="dxa"/>
          </w:tcPr>
          <w:p w14:paraId="7902D3E2" w14:textId="0F805F7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12-12 – Radiofrekvenču kanālu plānojums fiksētā dienesta sistēmām, kuras izmanto 55,78–57,0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redakcijā)</w:t>
            </w:r>
          </w:p>
        </w:tc>
      </w:tr>
      <w:tr w:rsidR="006E14AC" w:rsidRPr="006E14AC" w14:paraId="410E05F6" w14:textId="77777777" w:rsidTr="00965AEA">
        <w:tc>
          <w:tcPr>
            <w:tcW w:w="846" w:type="dxa"/>
          </w:tcPr>
          <w:p w14:paraId="74150A0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3.14.</w:t>
            </w:r>
          </w:p>
        </w:tc>
        <w:tc>
          <w:tcPr>
            <w:tcW w:w="8215" w:type="dxa"/>
          </w:tcPr>
          <w:p w14:paraId="662F5648" w14:textId="2BED341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13-03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14,0–14,5 GHz joslas izmantošana satelītu galiekārtām ar ļoti mazu antenas atvērumu (VSAT) un satelītu sakariem ziņu savākšanai (SNG)</w:t>
            </w:r>
          </w:p>
        </w:tc>
      </w:tr>
      <w:tr w:rsidR="006E14AC" w:rsidRPr="006E14AC" w14:paraId="5C453EE8" w14:textId="77777777" w:rsidTr="00A52938">
        <w:tc>
          <w:tcPr>
            <w:tcW w:w="846" w:type="dxa"/>
          </w:tcPr>
          <w:p w14:paraId="5207873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3.15.</w:t>
            </w:r>
          </w:p>
        </w:tc>
        <w:tc>
          <w:tcPr>
            <w:tcW w:w="8215" w:type="dxa"/>
          </w:tcPr>
          <w:p w14:paraId="05DBCC9C" w14:textId="2238F9C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14-01 – Radiofrekvenču kanālu plānojums lielas ietilpības analogajām vai ciparu radioreleju sistēmām, kuras izmanto 5925–6425 MHz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230944A" w14:textId="77777777" w:rsidTr="00A52938">
        <w:tc>
          <w:tcPr>
            <w:tcW w:w="846" w:type="dxa"/>
          </w:tcPr>
          <w:p w14:paraId="678B39F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3.16.</w:t>
            </w:r>
          </w:p>
        </w:tc>
        <w:tc>
          <w:tcPr>
            <w:tcW w:w="8215" w:type="dxa"/>
          </w:tcPr>
          <w:p w14:paraId="633CE52B" w14:textId="720DDBD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14-02 – Radiofrekvenču kanālu plānojums vidējas un lielas ietilpības analogajām vai lielas ietilpības ciparu radioreleju sistēmām, kuras izmanto 6425–7125 MHz joslu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68697A62" w14:textId="77777777" w:rsidTr="00A52938">
        <w:tc>
          <w:tcPr>
            <w:tcW w:w="846" w:type="dxa"/>
          </w:tcPr>
          <w:p w14:paraId="0CB5A36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3.17.</w:t>
            </w:r>
          </w:p>
        </w:tc>
        <w:tc>
          <w:tcPr>
            <w:tcW w:w="8215" w:type="dxa"/>
          </w:tcPr>
          <w:p w14:paraId="2F4AECC1" w14:textId="505356D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25-10</w:t>
            </w:r>
            <w:r w:rsidR="000407C7"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 xml:space="preserve"> Frekvenču joslas skaņas un video programmu gatavošanas un īpašo pasākumu ierīcēm (PMSE) zemes lietojumiem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CC3C0E4" w14:textId="77777777" w:rsidTr="00A52938">
        <w:tc>
          <w:tcPr>
            <w:tcW w:w="846" w:type="dxa"/>
          </w:tcPr>
          <w:p w14:paraId="3188EC6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3.18.</w:t>
            </w:r>
          </w:p>
        </w:tc>
        <w:tc>
          <w:tcPr>
            <w:tcW w:w="8215" w:type="dxa"/>
          </w:tcPr>
          <w:p w14:paraId="6CE0F27E" w14:textId="19C1B0D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70-03 – Par maza darbības attāluma ierīču (SRD) lietošanu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18</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A91935D" w14:textId="77777777" w:rsidTr="00965AEA">
        <w:tc>
          <w:tcPr>
            <w:tcW w:w="846" w:type="dxa"/>
          </w:tcPr>
          <w:p w14:paraId="4CCB9AB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3.19.</w:t>
            </w:r>
          </w:p>
        </w:tc>
        <w:tc>
          <w:tcPr>
            <w:tcW w:w="8215" w:type="dxa"/>
          </w:tcPr>
          <w:p w14:paraId="39FAEE3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ERC/REC/(00)04 – Harmonizētās radiofrekvences, brīvā aprite un lietošana radioiekārtām, kuras paredzētas sakariem, izmantojot radioviļņu atstarošanos no meteorītu pēdām</w:t>
            </w:r>
          </w:p>
        </w:tc>
      </w:tr>
      <w:tr w:rsidR="006E14AC" w:rsidRPr="006E14AC" w14:paraId="51F63FC8" w14:textId="77777777" w:rsidTr="00A52938">
        <w:tc>
          <w:tcPr>
            <w:tcW w:w="846" w:type="dxa"/>
          </w:tcPr>
          <w:p w14:paraId="6DCF39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3.20.</w:t>
            </w:r>
          </w:p>
        </w:tc>
        <w:tc>
          <w:tcPr>
            <w:tcW w:w="8215" w:type="dxa"/>
          </w:tcPr>
          <w:p w14:paraId="41D98CAA" w14:textId="4FDEF07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ERC/REC/(01)02 – Ieteicamais kanālu plānojums fiksētā dienesta ciparu sistēmām, kuras izmanto 31,8–33,4 GHz radiofrekvenču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4AA5D75" w14:textId="77777777" w:rsidTr="00A52938">
        <w:tc>
          <w:tcPr>
            <w:tcW w:w="846" w:type="dxa"/>
          </w:tcPr>
          <w:p w14:paraId="6EF9B65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3.21.</w:t>
            </w:r>
          </w:p>
        </w:tc>
        <w:tc>
          <w:tcPr>
            <w:tcW w:w="8215" w:type="dxa"/>
          </w:tcPr>
          <w:p w14:paraId="7CD43962" w14:textId="41743C2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ECC/REC/(01)04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Ieteikumi multimediju bezvadu sistēmu (MWS) ieviešanai 40,5–43,5 GHz joslā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251EB984" w14:textId="77777777" w:rsidTr="00A52938">
        <w:tc>
          <w:tcPr>
            <w:tcW w:w="846" w:type="dxa"/>
          </w:tcPr>
          <w:p w14:paraId="46D0514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3.22.</w:t>
            </w:r>
          </w:p>
        </w:tc>
        <w:tc>
          <w:tcPr>
            <w:tcW w:w="8215" w:type="dxa"/>
          </w:tcPr>
          <w:p w14:paraId="40CA1F47" w14:textId="78520EC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ECC/REC/(02)02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Kanālu plānojums fiksētā dienesta ciparu sistēmām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punkts un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daudzpunkti), kuras izmanto 31–31,3 GHz joslu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3A79CB81" w14:textId="77777777" w:rsidTr="00A52938">
        <w:tc>
          <w:tcPr>
            <w:tcW w:w="846" w:type="dxa"/>
          </w:tcPr>
          <w:p w14:paraId="26BFC4D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3.23.</w:t>
            </w:r>
          </w:p>
        </w:tc>
        <w:tc>
          <w:tcPr>
            <w:tcW w:w="8215" w:type="dxa"/>
          </w:tcPr>
          <w:p w14:paraId="25EE1A75" w14:textId="0CF78FB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ECC/REC/(02)06 – Ieteicamais kanālu plānojums fiksētā dienesta ciparu sistēmām, kuras izmanto 7125–8500 MHz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47CE2978" w14:textId="77777777" w:rsidTr="00A52938">
        <w:tc>
          <w:tcPr>
            <w:tcW w:w="846" w:type="dxa"/>
          </w:tcPr>
          <w:p w14:paraId="6D80D4E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3.24.</w:t>
            </w:r>
          </w:p>
        </w:tc>
        <w:tc>
          <w:tcPr>
            <w:tcW w:w="8215" w:type="dxa"/>
          </w:tcPr>
          <w:p w14:paraId="02746EE0" w14:textId="397AFF9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ECC/REC/(05)06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CEPT iesācēju radioamatieru atļauja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redakcijā)</w:t>
            </w:r>
          </w:p>
        </w:tc>
      </w:tr>
      <w:tr w:rsidR="006E14AC" w:rsidRPr="006E14AC" w14:paraId="1B267B1E" w14:textId="77777777" w:rsidTr="00A52938">
        <w:tc>
          <w:tcPr>
            <w:tcW w:w="846" w:type="dxa"/>
          </w:tcPr>
          <w:p w14:paraId="4B19ACD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3.25.</w:t>
            </w:r>
          </w:p>
        </w:tc>
        <w:tc>
          <w:tcPr>
            <w:tcW w:w="8215" w:type="dxa"/>
          </w:tcPr>
          <w:p w14:paraId="3309D468" w14:textId="5C2554A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 (05)07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Radiofrekvenču kanālu plānojums fiksētā dienesta sistēmām, kuras izmanto 71–76 GHz un 81–86 GHz joslu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721E09FB" w14:textId="77777777" w:rsidTr="00A52938">
        <w:tc>
          <w:tcPr>
            <w:tcW w:w="846" w:type="dxa"/>
          </w:tcPr>
          <w:p w14:paraId="2E4DDF8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3.26.</w:t>
            </w:r>
          </w:p>
        </w:tc>
        <w:tc>
          <w:tcPr>
            <w:tcW w:w="8215" w:type="dxa"/>
          </w:tcPr>
          <w:p w14:paraId="7C8414C7" w14:textId="5134DD5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ECC/REC/(05)08 – Frekvenču plānošana un frekvenču koordinēšana starp GSM sauszemes mobilajām sistēmām (GSM 900, GSM 1800 un GSM-R)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r w:rsidR="006E14AC" w:rsidRPr="006E14AC" w14:paraId="6A3E7216" w14:textId="77777777" w:rsidTr="00965AEA">
        <w:tc>
          <w:tcPr>
            <w:tcW w:w="846" w:type="dxa"/>
          </w:tcPr>
          <w:p w14:paraId="0571CD6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3.27.</w:t>
            </w:r>
          </w:p>
        </w:tc>
        <w:tc>
          <w:tcPr>
            <w:tcW w:w="8215" w:type="dxa"/>
          </w:tcPr>
          <w:p w14:paraId="79E1E5EB" w14:textId="1F2C6B73" w:rsidR="00CB699B" w:rsidRPr="006E14AC" w:rsidRDefault="00E83839" w:rsidP="00965AEA">
            <w:pPr>
              <w:spacing w:after="0" w:line="240" w:lineRule="auto"/>
              <w:rPr>
                <w:rFonts w:ascii="Times New Roman" w:eastAsia="Times New Roman" w:hAnsi="Times New Roman"/>
                <w:sz w:val="24"/>
                <w:szCs w:val="24"/>
                <w:lang w:eastAsia="en-GB"/>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fldChar w:fldCharType="begin"/>
            </w:r>
            <w:r w:rsidRPr="006E14AC">
              <w:rPr>
                <w:rFonts w:ascii="Times New Roman" w:eastAsia="Times New Roman" w:hAnsi="Times New Roman"/>
                <w:sz w:val="24"/>
                <w:szCs w:val="24"/>
                <w:lang w:eastAsia="en-GB"/>
              </w:rPr>
              <w:instrText xml:space="preserve"> MERGEFIELD =TAP_DOK_DATUMS_GEN \* MERGEFORMAT </w:instrText>
            </w:r>
            <w:r w:rsidRPr="006E14AC">
              <w:rPr>
                <w:rFonts w:ascii="Times New Roman" w:eastAsia="Times New Roman" w:hAnsi="Times New Roman"/>
                <w:sz w:val="24"/>
                <w:szCs w:val="24"/>
                <w:lang w:eastAsia="en-GB"/>
              </w:rPr>
              <w:fldChar w:fldCharType="separate"/>
            </w:r>
            <w:r w:rsidRPr="006E14AC">
              <w:rPr>
                <w:rFonts w:ascii="Times New Roman" w:eastAsia="Times New Roman" w:hAnsi="Times New Roman"/>
                <w:sz w:val="24"/>
                <w:szCs w:val="24"/>
                <w:lang w:eastAsia="en-GB"/>
              </w:rPr>
              <w:t>«=TAP_DOK_DATUMS_GEN»</w:t>
            </w:r>
            <w:r w:rsidRPr="006E14AC">
              <w:rPr>
                <w:rFonts w:ascii="Times New Roman" w:eastAsia="Times New Roman" w:hAnsi="Times New Roman"/>
                <w:sz w:val="24"/>
                <w:szCs w:val="24"/>
                <w:lang w:eastAsia="en-GB"/>
              </w:rPr>
              <w:fldChar w:fldCharType="end"/>
            </w:r>
            <w:r w:rsidRPr="006E14AC">
              <w:rPr>
                <w:rFonts w:ascii="Times New Roman" w:eastAsia="Times New Roman" w:hAnsi="Times New Roman"/>
                <w:sz w:val="24"/>
                <w:szCs w:val="24"/>
                <w:lang w:eastAsia="en-GB"/>
              </w:rPr>
              <w:t xml:space="preserve"> noteikumiem Nr. </w:t>
            </w:r>
            <w:r w:rsidRPr="006E14AC">
              <w:rPr>
                <w:rFonts w:ascii="Times New Roman" w:eastAsia="Times New Roman" w:hAnsi="Times New Roman"/>
                <w:sz w:val="24"/>
                <w:szCs w:val="24"/>
                <w:lang w:eastAsia="en-GB"/>
              </w:rPr>
              <w:fldChar w:fldCharType="begin"/>
            </w:r>
            <w:r w:rsidRPr="006E14AC">
              <w:rPr>
                <w:rFonts w:ascii="Times New Roman" w:eastAsia="Times New Roman" w:hAnsi="Times New Roman"/>
                <w:sz w:val="24"/>
                <w:szCs w:val="24"/>
                <w:lang w:eastAsia="en-GB"/>
              </w:rPr>
              <w:instrText xml:space="preserve"> MERGEFIELD =TAP_DOK_NUMURS \* MERGEFORMAT </w:instrText>
            </w:r>
            <w:r w:rsidRPr="006E14AC">
              <w:rPr>
                <w:rFonts w:ascii="Times New Roman" w:eastAsia="Times New Roman" w:hAnsi="Times New Roman"/>
                <w:sz w:val="24"/>
                <w:szCs w:val="24"/>
                <w:lang w:eastAsia="en-GB"/>
              </w:rPr>
              <w:fldChar w:fldCharType="separate"/>
            </w:r>
            <w:r w:rsidRPr="006E14AC">
              <w:rPr>
                <w:rFonts w:ascii="Times New Roman" w:eastAsia="Times New Roman" w:hAnsi="Times New Roman"/>
                <w:sz w:val="24"/>
                <w:szCs w:val="24"/>
                <w:lang w:eastAsia="en-GB"/>
              </w:rPr>
              <w:t>«=TAP_DOK_NUMURS»</w:t>
            </w:r>
            <w:r w:rsidRPr="006E14AC">
              <w:rPr>
                <w:rFonts w:ascii="Times New Roman" w:eastAsia="Times New Roman" w:hAnsi="Times New Roman"/>
                <w:sz w:val="24"/>
                <w:szCs w:val="24"/>
                <w:lang w:eastAsia="en-GB"/>
              </w:rPr>
              <w:fldChar w:fldCharType="end"/>
            </w:r>
            <w:r w:rsidRPr="006E14AC">
              <w:rPr>
                <w:rFonts w:ascii="Times New Roman" w:eastAsia="Times New Roman" w:hAnsi="Times New Roman"/>
                <w:sz w:val="24"/>
                <w:szCs w:val="24"/>
                <w:lang w:eastAsia="en-GB"/>
              </w:rPr>
              <w:t>)</w:t>
            </w:r>
          </w:p>
        </w:tc>
      </w:tr>
      <w:tr w:rsidR="006E14AC" w:rsidRPr="006E14AC" w14:paraId="3FA9BC27" w14:textId="77777777" w:rsidTr="00965AEA">
        <w:tc>
          <w:tcPr>
            <w:tcW w:w="846" w:type="dxa"/>
          </w:tcPr>
          <w:p w14:paraId="78ABB0CC" w14:textId="4DD6B8A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3.</w:t>
            </w:r>
            <w:r w:rsidR="00C65750" w:rsidRPr="006E14AC">
              <w:rPr>
                <w:rFonts w:ascii="Times New Roman" w:eastAsia="Times New Roman" w:hAnsi="Times New Roman" w:cs="Times New Roman"/>
                <w:sz w:val="24"/>
                <w:szCs w:val="24"/>
                <w:lang w:eastAsia="lv-LV"/>
              </w:rPr>
              <w:t>28.</w:t>
            </w:r>
          </w:p>
        </w:tc>
        <w:tc>
          <w:tcPr>
            <w:tcW w:w="8215" w:type="dxa"/>
          </w:tcPr>
          <w:p w14:paraId="6DAA772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ECC/REC/(10)02 – Par Globālās navigācijas satelītu sistēmas (GNSS) atkārtotāju atļauju režīmu </w:t>
            </w:r>
          </w:p>
        </w:tc>
      </w:tr>
      <w:tr w:rsidR="006E14AC" w:rsidRPr="006E14AC" w14:paraId="4E38927A" w14:textId="77777777" w:rsidTr="00965AEA">
        <w:tc>
          <w:tcPr>
            <w:tcW w:w="846" w:type="dxa"/>
          </w:tcPr>
          <w:p w14:paraId="6DA40BCB" w14:textId="7C4E6F2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r w:rsidR="003835F2" w:rsidRPr="006E14AC">
              <w:rPr>
                <w:rFonts w:ascii="Times New Roman" w:eastAsia="Times New Roman" w:hAnsi="Times New Roman" w:cs="Times New Roman"/>
                <w:sz w:val="24"/>
                <w:szCs w:val="24"/>
                <w:lang w:eastAsia="lv-LV"/>
              </w:rPr>
              <w:t>9.</w:t>
            </w:r>
          </w:p>
        </w:tc>
        <w:tc>
          <w:tcPr>
            <w:tcW w:w="8215" w:type="dxa"/>
          </w:tcPr>
          <w:p w14:paraId="49654C9A"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ECC/REC/(11)01 – vadlīnijas frekvenču bloku piešķiršanai fiksētajām bezvadu sistēmām 24,5–26,5 GHz, 27,5–29,5 GHz un 31,8–33,4 GHz frekvenču joslās</w:t>
            </w:r>
          </w:p>
        </w:tc>
      </w:tr>
      <w:tr w:rsidR="006E14AC" w:rsidRPr="006E14AC" w14:paraId="042C4C20" w14:textId="77777777" w:rsidTr="00A52938">
        <w:tc>
          <w:tcPr>
            <w:tcW w:w="846" w:type="dxa"/>
          </w:tcPr>
          <w:p w14:paraId="6B5826B0" w14:textId="23B18C5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w:t>
            </w:r>
            <w:r w:rsidR="003835F2" w:rsidRPr="006E14AC">
              <w:rPr>
                <w:rFonts w:ascii="Times New Roman" w:eastAsia="Times New Roman" w:hAnsi="Times New Roman" w:cs="Times New Roman"/>
                <w:sz w:val="24"/>
                <w:szCs w:val="24"/>
                <w:lang w:eastAsia="lv-LV"/>
              </w:rPr>
              <w:t>30.</w:t>
            </w:r>
          </w:p>
        </w:tc>
        <w:tc>
          <w:tcPr>
            <w:tcW w:w="8215" w:type="dxa"/>
          </w:tcPr>
          <w:p w14:paraId="2FD11C02" w14:textId="4B49EBF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 32. Ziņojums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Iesācēju radioamatieru eksāmena programma un iesācēju radioamatieru eksāmena apliecība CEPT un ne-CEPT valstīs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bl>
    <w:p w14:paraId="391DDB20" w14:textId="77777777" w:rsidR="004E456F"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4. </w:t>
      </w:r>
      <w:r w:rsidR="004E456F" w:rsidRPr="006E14AC">
        <w:rPr>
          <w:rFonts w:ascii="Times New Roman" w:eastAsia="Times New Roman" w:hAnsi="Times New Roman" w:cs="Times New Roman"/>
          <w:b/>
          <w:bCs/>
          <w:sz w:val="24"/>
          <w:szCs w:val="24"/>
          <w:lang w:eastAsia="lv-LV"/>
        </w:rPr>
        <w:t>ITU-R rekomendācija, ITU rezolūcija</w:t>
      </w:r>
    </w:p>
    <w:tbl>
      <w:tblPr>
        <w:tblStyle w:val="TableGrid"/>
        <w:tblW w:w="0" w:type="auto"/>
        <w:tblLook w:val="04A0" w:firstRow="1" w:lastRow="0" w:firstColumn="1" w:lastColumn="0" w:noHBand="0" w:noVBand="1"/>
      </w:tblPr>
      <w:tblGrid>
        <w:gridCol w:w="846"/>
        <w:gridCol w:w="8215"/>
      </w:tblGrid>
      <w:tr w:rsidR="006E14AC" w:rsidRPr="006E14AC" w14:paraId="643A674A" w14:textId="77777777" w:rsidTr="00965AEA">
        <w:tc>
          <w:tcPr>
            <w:tcW w:w="846" w:type="dxa"/>
            <w:vAlign w:val="center"/>
          </w:tcPr>
          <w:p w14:paraId="496C2EFE"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5653B458"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7C8D702" w14:textId="77777777" w:rsidTr="00965AEA">
        <w:tc>
          <w:tcPr>
            <w:tcW w:w="846" w:type="dxa"/>
          </w:tcPr>
          <w:p w14:paraId="2F995B2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4.1.</w:t>
            </w:r>
          </w:p>
        </w:tc>
        <w:tc>
          <w:tcPr>
            <w:tcW w:w="8215" w:type="dxa"/>
          </w:tcPr>
          <w:p w14:paraId="29499AEA" w14:textId="0063846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F.636-5 Radiofrekvenču kanālu plānojums fiksētām bezvadu sistēmām, kas darbojas 14,4</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15,35 GHz joslā</w:t>
            </w:r>
            <w:r w:rsidR="0047343C" w:rsidRPr="006E14AC">
              <w:rPr>
                <w:rFonts w:ascii="Times New Roman" w:eastAsia="Times New Roman" w:hAnsi="Times New Roman" w:cs="Times New Roman"/>
                <w:sz w:val="24"/>
                <w:szCs w:val="24"/>
                <w:lang w:eastAsia="lv-LV"/>
              </w:rPr>
              <w:t xml:space="preserve"> (</w:t>
            </w:r>
            <w:r w:rsidR="0072155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721557" w:rsidRPr="006E14AC">
              <w:rPr>
                <w:rFonts w:ascii="Times New Roman" w:eastAsia="Times New Roman" w:hAnsi="Times New Roman" w:cs="Times New Roman"/>
                <w:sz w:val="24"/>
                <w:szCs w:val="24"/>
                <w:lang w:eastAsia="lv-LV"/>
              </w:rPr>
              <w:t>1</w:t>
            </w:r>
            <w:r w:rsidR="00541FA3" w:rsidRPr="006E14AC">
              <w:rPr>
                <w:rFonts w:ascii="Times New Roman" w:eastAsia="Times New Roman" w:hAnsi="Times New Roman" w:cs="Times New Roman"/>
                <w:sz w:val="24"/>
                <w:szCs w:val="24"/>
                <w:lang w:eastAsia="lv-LV"/>
              </w:rPr>
              <w:t>8</w:t>
            </w:r>
            <w:r w:rsidR="00721557" w:rsidRPr="006E14AC">
              <w:rPr>
                <w:rFonts w:ascii="Times New Roman" w:eastAsia="Times New Roman" w:hAnsi="Times New Roman" w:cs="Times New Roman"/>
                <w:sz w:val="24"/>
                <w:szCs w:val="24"/>
                <w:lang w:eastAsia="lv-LV"/>
              </w:rPr>
              <w:t>.</w:t>
            </w:r>
            <w:r w:rsidR="00B85C8C" w:rsidRPr="006E14AC">
              <w:rPr>
                <w:rFonts w:ascii="Times New Roman" w:eastAsia="Times New Roman" w:hAnsi="Times New Roman" w:cs="Times New Roman"/>
                <w:sz w:val="24"/>
                <w:szCs w:val="24"/>
                <w:lang w:eastAsia="lv-LV"/>
              </w:rPr>
              <w:t> </w:t>
            </w:r>
            <w:r w:rsidR="00541FA3" w:rsidRPr="006E14AC">
              <w:rPr>
                <w:rFonts w:ascii="Times New Roman" w:eastAsia="Times New Roman" w:hAnsi="Times New Roman" w:cs="Times New Roman"/>
                <w:sz w:val="24"/>
                <w:szCs w:val="24"/>
                <w:lang w:eastAsia="lv-LV"/>
              </w:rPr>
              <w:t>novembris</w:t>
            </w:r>
            <w:r w:rsidR="00721557" w:rsidRPr="006E14AC">
              <w:rPr>
                <w:rFonts w:ascii="Times New Roman" w:eastAsia="Times New Roman" w:hAnsi="Times New Roman" w:cs="Times New Roman"/>
                <w:sz w:val="24"/>
                <w:szCs w:val="24"/>
                <w:lang w:eastAsia="lv-LV"/>
              </w:rPr>
              <w:t>)</w:t>
            </w:r>
          </w:p>
        </w:tc>
      </w:tr>
      <w:tr w:rsidR="006E14AC" w:rsidRPr="006E14AC" w14:paraId="1B3DA406" w14:textId="77777777" w:rsidTr="00965AEA">
        <w:tc>
          <w:tcPr>
            <w:tcW w:w="846" w:type="dxa"/>
          </w:tcPr>
          <w:p w14:paraId="3EED0C9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4.2.</w:t>
            </w:r>
          </w:p>
        </w:tc>
        <w:tc>
          <w:tcPr>
            <w:tcW w:w="8215" w:type="dxa"/>
          </w:tcPr>
          <w:p w14:paraId="2708E4C8" w14:textId="48A73C4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F.637-4 Radiofrekvenču kanālu plānojums fiksētām bezvadu sistēmām, kas darbojas 21,2</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23,6 GHz joslā</w:t>
            </w:r>
            <w:r w:rsidR="00A42B1E" w:rsidRPr="006E14AC">
              <w:rPr>
                <w:rFonts w:ascii="Times New Roman" w:eastAsia="Times New Roman" w:hAnsi="Times New Roman" w:cs="Times New Roman"/>
                <w:sz w:val="24"/>
                <w:szCs w:val="24"/>
                <w:lang w:eastAsia="lv-LV"/>
              </w:rPr>
              <w:t xml:space="preserve"> (</w:t>
            </w:r>
            <w:r w:rsidR="0047343C" w:rsidRPr="006E14AC">
              <w:rPr>
                <w:rFonts w:ascii="Times New Roman" w:eastAsia="Times New Roman" w:hAnsi="Times New Roman" w:cs="Times New Roman"/>
                <w:sz w:val="24"/>
                <w:szCs w:val="24"/>
                <w:lang w:eastAsia="lv-LV"/>
              </w:rPr>
              <w:t>2012</w:t>
            </w:r>
            <w:r w:rsidR="004A6E54" w:rsidRPr="006E14AC">
              <w:rPr>
                <w:rFonts w:ascii="Times New Roman" w:eastAsia="Times New Roman" w:hAnsi="Times New Roman" w:cs="Times New Roman"/>
                <w:sz w:val="24"/>
                <w:szCs w:val="24"/>
                <w:lang w:eastAsia="lv-LV"/>
              </w:rPr>
              <w:t xml:space="preserve">. gada </w:t>
            </w:r>
            <w:r w:rsidR="0047343C" w:rsidRPr="006E14AC">
              <w:rPr>
                <w:rFonts w:ascii="Times New Roman" w:eastAsia="Times New Roman" w:hAnsi="Times New Roman" w:cs="Times New Roman"/>
                <w:sz w:val="24"/>
                <w:szCs w:val="24"/>
                <w:lang w:eastAsia="lv-LV"/>
              </w:rPr>
              <w:t>15.</w:t>
            </w:r>
            <w:r w:rsidR="00B85C8C" w:rsidRPr="006E14AC">
              <w:rPr>
                <w:rFonts w:ascii="Times New Roman" w:eastAsia="Times New Roman" w:hAnsi="Times New Roman" w:cs="Times New Roman"/>
                <w:sz w:val="24"/>
                <w:szCs w:val="24"/>
                <w:lang w:eastAsia="lv-LV"/>
              </w:rPr>
              <w:t> </w:t>
            </w:r>
            <w:r w:rsidR="0047343C" w:rsidRPr="006E14AC">
              <w:rPr>
                <w:rFonts w:ascii="Times New Roman" w:eastAsia="Times New Roman" w:hAnsi="Times New Roman" w:cs="Times New Roman"/>
                <w:sz w:val="24"/>
                <w:szCs w:val="24"/>
                <w:lang w:eastAsia="lv-LV"/>
              </w:rPr>
              <w:t>marts)</w:t>
            </w:r>
          </w:p>
        </w:tc>
      </w:tr>
      <w:tr w:rsidR="006E14AC" w:rsidRPr="006E14AC" w14:paraId="4A4B5D64" w14:textId="77777777" w:rsidTr="00965AEA">
        <w:tc>
          <w:tcPr>
            <w:tcW w:w="846" w:type="dxa"/>
          </w:tcPr>
          <w:p w14:paraId="26CA4C1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4.3.</w:t>
            </w:r>
          </w:p>
        </w:tc>
        <w:tc>
          <w:tcPr>
            <w:tcW w:w="8215" w:type="dxa"/>
          </w:tcPr>
          <w:p w14:paraId="39D56333" w14:textId="52C0CAB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ITU-R M.1036-6 Frekvenču plānojums starptautisko mobilo sakaru (IMT) zemes komponentes ieviešanai ITU </w:t>
            </w:r>
            <w:proofErr w:type="spellStart"/>
            <w:r w:rsidRPr="006E14AC">
              <w:rPr>
                <w:rFonts w:ascii="Times New Roman" w:eastAsia="Times New Roman" w:hAnsi="Times New Roman" w:cs="Times New Roman"/>
                <w:sz w:val="24"/>
                <w:szCs w:val="24"/>
                <w:lang w:eastAsia="lv-LV"/>
              </w:rPr>
              <w:t>Radionoteikumos</w:t>
            </w:r>
            <w:proofErr w:type="spellEnd"/>
            <w:r w:rsidRPr="006E14AC">
              <w:rPr>
                <w:rFonts w:ascii="Times New Roman" w:eastAsia="Times New Roman" w:hAnsi="Times New Roman" w:cs="Times New Roman"/>
                <w:sz w:val="24"/>
                <w:szCs w:val="24"/>
                <w:lang w:eastAsia="lv-LV"/>
              </w:rPr>
              <w:t xml:space="preserve"> IMT noteiktajās joslās</w:t>
            </w:r>
            <w:r w:rsidR="00890F03" w:rsidRPr="006E14AC">
              <w:rPr>
                <w:rFonts w:ascii="Times New Roman" w:eastAsia="Times New Roman" w:hAnsi="Times New Roman" w:cs="Times New Roman"/>
                <w:sz w:val="24"/>
                <w:szCs w:val="24"/>
                <w:lang w:eastAsia="lv-LV"/>
              </w:rPr>
              <w:t xml:space="preserve"> (2019</w:t>
            </w:r>
            <w:r w:rsidR="004A6E54" w:rsidRPr="006E14AC">
              <w:rPr>
                <w:rFonts w:ascii="Times New Roman" w:eastAsia="Times New Roman" w:hAnsi="Times New Roman" w:cs="Times New Roman"/>
                <w:sz w:val="24"/>
                <w:szCs w:val="24"/>
                <w:lang w:eastAsia="lv-LV"/>
              </w:rPr>
              <w:t xml:space="preserve">. gada </w:t>
            </w:r>
            <w:r w:rsidR="00A17C6D"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A42B1E" w:rsidRPr="006E14AC">
              <w:rPr>
                <w:rFonts w:ascii="Times New Roman" w:eastAsia="Times New Roman" w:hAnsi="Times New Roman" w:cs="Times New Roman"/>
                <w:sz w:val="24"/>
                <w:szCs w:val="24"/>
                <w:lang w:eastAsia="lv-LV"/>
              </w:rPr>
              <w:t>oktobris)</w:t>
            </w:r>
          </w:p>
        </w:tc>
      </w:tr>
      <w:tr w:rsidR="006E14AC" w:rsidRPr="006E14AC" w14:paraId="426DB58D" w14:textId="77777777" w:rsidTr="00965AEA">
        <w:tc>
          <w:tcPr>
            <w:tcW w:w="846" w:type="dxa"/>
          </w:tcPr>
          <w:p w14:paraId="484A923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4.4.</w:t>
            </w:r>
          </w:p>
        </w:tc>
        <w:tc>
          <w:tcPr>
            <w:tcW w:w="8215" w:type="dxa"/>
          </w:tcPr>
          <w:p w14:paraId="6FD7BCAA" w14:textId="492DD4C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M.1174-4 Tehniskie parametri radioiekārtām, ko izmanto sakariem uz kuģa frekvenču joslās no 450 MHz līdz 470 MHz</w:t>
            </w:r>
            <w:r w:rsidR="00FE2CE0" w:rsidRPr="006E14AC">
              <w:rPr>
                <w:rFonts w:ascii="Times New Roman" w:eastAsia="Times New Roman" w:hAnsi="Times New Roman" w:cs="Times New Roman"/>
                <w:sz w:val="24"/>
                <w:szCs w:val="24"/>
                <w:lang w:eastAsia="lv-LV"/>
              </w:rPr>
              <w:t xml:space="preserve"> </w:t>
            </w:r>
            <w:r w:rsidR="00430BD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A42EC5"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430BD7" w:rsidRPr="006E14AC">
              <w:rPr>
                <w:rFonts w:ascii="Times New Roman" w:eastAsia="Times New Roman" w:hAnsi="Times New Roman" w:cs="Times New Roman"/>
                <w:sz w:val="24"/>
                <w:szCs w:val="24"/>
                <w:lang w:eastAsia="lv-LV"/>
              </w:rPr>
              <w:t>oktobris)</w:t>
            </w:r>
          </w:p>
        </w:tc>
      </w:tr>
      <w:tr w:rsidR="006E14AC" w:rsidRPr="006E14AC" w14:paraId="4473AD00" w14:textId="77777777" w:rsidTr="00965AEA">
        <w:tc>
          <w:tcPr>
            <w:tcW w:w="846" w:type="dxa"/>
          </w:tcPr>
          <w:p w14:paraId="05DABC5E"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4.5.</w:t>
            </w:r>
          </w:p>
        </w:tc>
        <w:tc>
          <w:tcPr>
            <w:tcW w:w="8215" w:type="dxa"/>
          </w:tcPr>
          <w:p w14:paraId="337902F8" w14:textId="7B2C593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SA.2045-0 Pamatnosacījumi 401</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403 MHz radiofrekvenču joslas sadalīšanai un koplietošanai nākotnes ilgtermiņa saskaņotai izmantošanai datu savākšanas sistēmām ģeostacionārajās un neģeostacionārajās </w:t>
            </w:r>
            <w:proofErr w:type="spellStart"/>
            <w:r w:rsidRPr="006E14AC">
              <w:rPr>
                <w:rFonts w:ascii="Times New Roman" w:eastAsia="Times New Roman" w:hAnsi="Times New Roman" w:cs="Times New Roman"/>
                <w:sz w:val="24"/>
                <w:szCs w:val="24"/>
                <w:lang w:eastAsia="lv-LV"/>
              </w:rPr>
              <w:t>MetSat</w:t>
            </w:r>
            <w:proofErr w:type="spellEnd"/>
            <w:r w:rsidRPr="006E14AC">
              <w:rPr>
                <w:rFonts w:ascii="Times New Roman" w:eastAsia="Times New Roman" w:hAnsi="Times New Roman" w:cs="Times New Roman"/>
                <w:sz w:val="24"/>
                <w:szCs w:val="24"/>
                <w:lang w:eastAsia="lv-LV"/>
              </w:rPr>
              <w:t xml:space="preserve"> un Zemes izpētes satelītu sistēmās</w:t>
            </w:r>
            <w:r w:rsidR="00FE2CE0" w:rsidRPr="006E14AC">
              <w:rPr>
                <w:rFonts w:ascii="Times New Roman" w:eastAsia="Times New Roman" w:hAnsi="Times New Roman" w:cs="Times New Roman"/>
                <w:sz w:val="24"/>
                <w:szCs w:val="24"/>
                <w:lang w:eastAsia="lv-LV"/>
              </w:rPr>
              <w:t xml:space="preserve"> (2013</w:t>
            </w:r>
            <w:r w:rsidR="004A6E54" w:rsidRPr="006E14AC">
              <w:rPr>
                <w:rFonts w:ascii="Times New Roman" w:eastAsia="Times New Roman" w:hAnsi="Times New Roman" w:cs="Times New Roman"/>
                <w:sz w:val="24"/>
                <w:szCs w:val="24"/>
                <w:lang w:eastAsia="lv-LV"/>
              </w:rPr>
              <w:t xml:space="preserve">. gada </w:t>
            </w:r>
            <w:r w:rsidR="00C4646E"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decembris</w:t>
            </w:r>
            <w:r w:rsidR="00FE2CE0" w:rsidRPr="006E14AC">
              <w:rPr>
                <w:rFonts w:ascii="Times New Roman" w:eastAsia="Times New Roman" w:hAnsi="Times New Roman" w:cs="Times New Roman"/>
                <w:sz w:val="24"/>
                <w:szCs w:val="24"/>
                <w:lang w:eastAsia="lv-LV"/>
              </w:rPr>
              <w:t>)</w:t>
            </w:r>
          </w:p>
        </w:tc>
      </w:tr>
      <w:tr w:rsidR="008129E1" w:rsidRPr="006E14AC" w14:paraId="739A6A4F" w14:textId="77777777" w:rsidTr="00965AEA">
        <w:tc>
          <w:tcPr>
            <w:tcW w:w="846" w:type="dxa"/>
          </w:tcPr>
          <w:p w14:paraId="2525DE80" w14:textId="65735FB5" w:rsidR="008129E1" w:rsidRPr="006E14AC" w:rsidRDefault="00BC3CA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4.6.</w:t>
            </w:r>
          </w:p>
        </w:tc>
        <w:tc>
          <w:tcPr>
            <w:tcW w:w="8215" w:type="dxa"/>
          </w:tcPr>
          <w:p w14:paraId="38D58D4C" w14:textId="38411509" w:rsidR="000B32E4" w:rsidRPr="006E14AC" w:rsidRDefault="006E2F28" w:rsidP="00F0190D">
            <w:pPr>
              <w:spacing w:after="120" w:line="240" w:lineRule="auto"/>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ITU-R F.</w:t>
            </w:r>
            <w:r w:rsidR="001A6A63" w:rsidRPr="006E14AC">
              <w:rPr>
                <w:rFonts w:ascii="Times New Roman" w:hAnsi="Times New Roman" w:cs="Times New Roman"/>
                <w:sz w:val="24"/>
                <w:szCs w:val="24"/>
              </w:rPr>
              <w:t>1</w:t>
            </w:r>
            <w:r w:rsidR="002F01EE" w:rsidRPr="006E14AC">
              <w:rPr>
                <w:rFonts w:ascii="Times New Roman" w:hAnsi="Times New Roman" w:cs="Times New Roman"/>
                <w:sz w:val="24"/>
                <w:szCs w:val="24"/>
              </w:rPr>
              <w:t>4</w:t>
            </w:r>
            <w:r w:rsidR="00C9788E" w:rsidRPr="006E14AC">
              <w:rPr>
                <w:rFonts w:ascii="Times New Roman" w:hAnsi="Times New Roman" w:cs="Times New Roman"/>
                <w:sz w:val="24"/>
                <w:szCs w:val="24"/>
              </w:rPr>
              <w:t>97</w:t>
            </w:r>
            <w:r w:rsidRPr="006E14AC">
              <w:rPr>
                <w:rFonts w:ascii="Times New Roman" w:hAnsi="Times New Roman" w:cs="Times New Roman"/>
                <w:sz w:val="24"/>
                <w:szCs w:val="24"/>
              </w:rPr>
              <w:t>-</w:t>
            </w:r>
            <w:r w:rsidR="002F01EE" w:rsidRPr="006E14AC">
              <w:rPr>
                <w:rFonts w:ascii="Times New Roman" w:hAnsi="Times New Roman" w:cs="Times New Roman"/>
                <w:sz w:val="24"/>
                <w:szCs w:val="24"/>
              </w:rPr>
              <w:t>2</w:t>
            </w:r>
            <w:r w:rsidRPr="006E14AC">
              <w:rPr>
                <w:rFonts w:ascii="Times New Roman" w:hAnsi="Times New Roman" w:cs="Times New Roman"/>
                <w:sz w:val="24"/>
                <w:szCs w:val="24"/>
              </w:rPr>
              <w:t xml:space="preserve"> Radiofrekvenču kanālu plānojums fiksētām bezvadu sistēmām, kas darbojas 55</w:t>
            </w:r>
            <w:r w:rsidR="00582F1F" w:rsidRPr="006E14AC">
              <w:rPr>
                <w:rFonts w:ascii="Times New Roman" w:hAnsi="Times New Roman" w:cs="Times New Roman"/>
                <w:sz w:val="24"/>
                <w:szCs w:val="24"/>
              </w:rPr>
              <w:t>,</w:t>
            </w:r>
            <w:r w:rsidRPr="006E14AC">
              <w:rPr>
                <w:rFonts w:ascii="Times New Roman" w:hAnsi="Times New Roman" w:cs="Times New Roman"/>
                <w:sz w:val="24"/>
                <w:szCs w:val="24"/>
              </w:rPr>
              <w:t>78</w:t>
            </w:r>
            <w:r w:rsidR="00582F1F" w:rsidRPr="006E14AC">
              <w:rPr>
                <w:rFonts w:ascii="Times New Roman" w:eastAsia="Times New Roman" w:hAnsi="Times New Roman" w:cs="Times New Roman"/>
                <w:sz w:val="24"/>
                <w:szCs w:val="24"/>
                <w:lang w:eastAsia="lv-LV"/>
              </w:rPr>
              <w:t>–</w:t>
            </w:r>
            <w:r w:rsidRPr="006E14AC">
              <w:rPr>
                <w:rFonts w:ascii="Times New Roman" w:hAnsi="Times New Roman" w:cs="Times New Roman"/>
                <w:sz w:val="24"/>
                <w:szCs w:val="24"/>
              </w:rPr>
              <w:t>66 GHz joslā</w:t>
            </w:r>
            <w:r w:rsidR="00251324" w:rsidRPr="006E14AC">
              <w:rPr>
                <w:rFonts w:ascii="Times New Roman" w:hAnsi="Times New Roman" w:cs="Times New Roman"/>
                <w:sz w:val="24"/>
                <w:szCs w:val="24"/>
              </w:rPr>
              <w:t xml:space="preserve"> </w:t>
            </w:r>
            <w:r w:rsidR="007B76F5" w:rsidRPr="006E14AC">
              <w:rPr>
                <w:rFonts w:ascii="Times New Roman" w:hAnsi="Times New Roman" w:cs="Times New Roman"/>
                <w:sz w:val="24"/>
                <w:szCs w:val="24"/>
              </w:rPr>
              <w:t>(</w:t>
            </w:r>
            <w:r w:rsidR="00251324" w:rsidRPr="006E14AC">
              <w:rPr>
                <w:rFonts w:ascii="Times New Roman" w:hAnsi="Times New Roman" w:cs="Times New Roman"/>
                <w:sz w:val="24"/>
                <w:szCs w:val="24"/>
              </w:rPr>
              <w:t>2014</w:t>
            </w:r>
            <w:r w:rsidR="004A6E54" w:rsidRPr="006E14AC">
              <w:rPr>
                <w:rFonts w:ascii="Times New Roman" w:hAnsi="Times New Roman" w:cs="Times New Roman"/>
                <w:sz w:val="24"/>
                <w:szCs w:val="24"/>
              </w:rPr>
              <w:t xml:space="preserve">. gada </w:t>
            </w:r>
            <w:r w:rsidR="003F4D24" w:rsidRPr="006E14AC">
              <w:rPr>
                <w:rFonts w:ascii="Times New Roman" w:hAnsi="Times New Roman" w:cs="Times New Roman"/>
                <w:sz w:val="24"/>
                <w:szCs w:val="24"/>
              </w:rPr>
              <w:t>18</w:t>
            </w:r>
            <w:r w:rsidR="004A6E54" w:rsidRPr="006E14AC">
              <w:rPr>
                <w:rFonts w:ascii="Times New Roman" w:hAnsi="Times New Roman" w:cs="Times New Roman"/>
                <w:sz w:val="24"/>
                <w:szCs w:val="24"/>
              </w:rPr>
              <w:t>. februāris</w:t>
            </w:r>
            <w:r w:rsidR="007B76F5" w:rsidRPr="006E14AC">
              <w:rPr>
                <w:rFonts w:ascii="Times New Roman" w:hAnsi="Times New Roman" w:cs="Times New Roman"/>
                <w:sz w:val="24"/>
                <w:szCs w:val="24"/>
              </w:rPr>
              <w:t>)</w:t>
            </w:r>
            <w:r w:rsidR="00A709EE" w:rsidRPr="006E14AC">
              <w:rPr>
                <w:rFonts w:ascii="Times New Roman" w:hAnsi="Times New Roman" w:cs="Times New Roman"/>
                <w:sz w:val="24"/>
                <w:szCs w:val="24"/>
              </w:rPr>
              <w:t>"</w:t>
            </w:r>
          </w:p>
        </w:tc>
      </w:tr>
    </w:tbl>
    <w:p w14:paraId="46382204" w14:textId="77777777" w:rsidR="00645DF4" w:rsidRPr="006E14AC" w:rsidRDefault="00645DF4" w:rsidP="00C43F6C">
      <w:pPr>
        <w:rPr>
          <w:rFonts w:ascii="Times New Roman" w:hAnsi="Times New Roman" w:cs="Times New Roman"/>
          <w:sz w:val="24"/>
          <w:szCs w:val="24"/>
        </w:rPr>
      </w:pPr>
    </w:p>
    <w:sectPr w:rsidR="00645DF4" w:rsidRPr="006E14AC" w:rsidSect="00673757">
      <w:headerReference w:type="default" r:id="rId46"/>
      <w:footerReference w:type="default" r:id="rId47"/>
      <w:footerReference w:type="first" r:id="rId48"/>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3C66" w14:textId="77777777" w:rsidR="00C4612F" w:rsidRDefault="00C4612F">
      <w:pPr>
        <w:spacing w:after="0" w:line="240" w:lineRule="auto"/>
      </w:pPr>
      <w:r>
        <w:separator/>
      </w:r>
    </w:p>
  </w:endnote>
  <w:endnote w:type="continuationSeparator" w:id="0">
    <w:p w14:paraId="2928133B" w14:textId="77777777" w:rsidR="00C4612F" w:rsidRDefault="00C46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UAlbertin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32CA" w14:textId="6E0FA036" w:rsidR="004F13AC" w:rsidRDefault="008D15C9" w:rsidP="004F13AC">
    <w:pPr>
      <w:pStyle w:val="Footer"/>
    </w:pPr>
    <w:r>
      <w:rPr>
        <w:rFonts w:ascii="Times New Roman" w:hAnsi="Times New Roman" w:cs="Times New Roman"/>
        <w:sz w:val="16"/>
        <w:szCs w:val="16"/>
      </w:rPr>
      <w:t>N0763</w:t>
    </w:r>
    <w:r w:rsidR="004F13AC">
      <w:rPr>
        <w:rFonts w:ascii="Times New Roman" w:hAnsi="Times New Roman" w:cs="Times New Roman"/>
        <w:sz w:val="16"/>
        <w:szCs w:val="16"/>
      </w:rPr>
      <w:t>_</w:t>
    </w:r>
    <w:r>
      <w:rPr>
        <w:rFonts w:ascii="Times New Roman" w:hAnsi="Times New Roman" w:cs="Times New Roman"/>
        <w:sz w:val="16"/>
        <w:szCs w:val="16"/>
      </w:rPr>
      <w:t>3p4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BF1A" w14:textId="68822A68" w:rsidR="00673757" w:rsidRDefault="008D15C9">
    <w:pPr>
      <w:pStyle w:val="Footer"/>
    </w:pPr>
    <w:r>
      <w:rPr>
        <w:rFonts w:ascii="Times New Roman" w:hAnsi="Times New Roman" w:cs="Times New Roman"/>
        <w:sz w:val="16"/>
        <w:szCs w:val="16"/>
      </w:rPr>
      <w:t>N0763_3p4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37BF" w14:textId="77777777" w:rsidR="00C4612F" w:rsidRDefault="00C4612F">
      <w:pPr>
        <w:spacing w:after="0" w:line="240" w:lineRule="auto"/>
      </w:pPr>
      <w:r>
        <w:separator/>
      </w:r>
    </w:p>
  </w:footnote>
  <w:footnote w:type="continuationSeparator" w:id="0">
    <w:p w14:paraId="0666F254" w14:textId="77777777" w:rsidR="00C4612F" w:rsidRDefault="00C46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203091"/>
      <w:docPartObj>
        <w:docPartGallery w:val="Page Numbers (Top of Page)"/>
        <w:docPartUnique/>
      </w:docPartObj>
    </w:sdtPr>
    <w:sdtEndPr>
      <w:rPr>
        <w:rFonts w:ascii="Times New Roman" w:hAnsi="Times New Roman" w:cs="Times New Roman"/>
        <w:noProof/>
        <w:sz w:val="24"/>
        <w:szCs w:val="24"/>
      </w:rPr>
    </w:sdtEndPr>
    <w:sdtContent>
      <w:p w14:paraId="0F1C40DE" w14:textId="255487FA" w:rsidR="00673757" w:rsidRPr="00673757" w:rsidRDefault="00673757">
        <w:pPr>
          <w:pStyle w:val="Header"/>
          <w:jc w:val="center"/>
          <w:rPr>
            <w:rFonts w:ascii="Times New Roman" w:hAnsi="Times New Roman" w:cs="Times New Roman"/>
            <w:sz w:val="24"/>
            <w:szCs w:val="24"/>
          </w:rPr>
        </w:pPr>
        <w:r w:rsidRPr="00673757">
          <w:rPr>
            <w:rFonts w:ascii="Times New Roman" w:hAnsi="Times New Roman" w:cs="Times New Roman"/>
            <w:sz w:val="24"/>
            <w:szCs w:val="24"/>
          </w:rPr>
          <w:fldChar w:fldCharType="begin"/>
        </w:r>
        <w:r w:rsidRPr="00673757">
          <w:rPr>
            <w:rFonts w:ascii="Times New Roman" w:hAnsi="Times New Roman" w:cs="Times New Roman"/>
            <w:sz w:val="24"/>
            <w:szCs w:val="24"/>
          </w:rPr>
          <w:instrText xml:space="preserve"> PAGE   \* MERGEFORMAT </w:instrText>
        </w:r>
        <w:r w:rsidRPr="00673757">
          <w:rPr>
            <w:rFonts w:ascii="Times New Roman" w:hAnsi="Times New Roman" w:cs="Times New Roman"/>
            <w:sz w:val="24"/>
            <w:szCs w:val="24"/>
          </w:rPr>
          <w:fldChar w:fldCharType="separate"/>
        </w:r>
        <w:r w:rsidR="004F13AC">
          <w:rPr>
            <w:rFonts w:ascii="Times New Roman" w:hAnsi="Times New Roman" w:cs="Times New Roman"/>
            <w:noProof/>
            <w:sz w:val="24"/>
            <w:szCs w:val="24"/>
          </w:rPr>
          <w:t>2</w:t>
        </w:r>
        <w:r w:rsidRPr="00673757">
          <w:rPr>
            <w:rFonts w:ascii="Times New Roman" w:hAnsi="Times New Roman" w:cs="Times New Roman"/>
            <w:noProof/>
            <w:sz w:val="24"/>
            <w:szCs w:val="24"/>
          </w:rPr>
          <w:fldChar w:fldCharType="end"/>
        </w:r>
      </w:p>
    </w:sdtContent>
  </w:sdt>
  <w:p w14:paraId="3E546DB1" w14:textId="77777777" w:rsidR="00673757" w:rsidRDefault="00673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E3069"/>
    <w:multiLevelType w:val="hybridMultilevel"/>
    <w:tmpl w:val="E00E0FDE"/>
    <w:lvl w:ilvl="0" w:tplc="C240BBB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ACB7A0A"/>
    <w:multiLevelType w:val="hybridMultilevel"/>
    <w:tmpl w:val="A22A9106"/>
    <w:lvl w:ilvl="0" w:tplc="5B2059A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FAA3D22"/>
    <w:multiLevelType w:val="hybridMultilevel"/>
    <w:tmpl w:val="AAE21DA2"/>
    <w:lvl w:ilvl="0" w:tplc="92DC7298">
      <w:start w:val="1"/>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num w:numId="1" w16cid:durableId="1054624236">
    <w:abstractNumId w:val="0"/>
  </w:num>
  <w:num w:numId="2" w16cid:durableId="548957010">
    <w:abstractNumId w:val="1"/>
  </w:num>
  <w:num w:numId="3" w16cid:durableId="1106193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99B"/>
    <w:rsid w:val="00002057"/>
    <w:rsid w:val="00007466"/>
    <w:rsid w:val="00021E3F"/>
    <w:rsid w:val="000407C7"/>
    <w:rsid w:val="000451A6"/>
    <w:rsid w:val="0005374B"/>
    <w:rsid w:val="00057F8B"/>
    <w:rsid w:val="00076A2D"/>
    <w:rsid w:val="000B32E4"/>
    <w:rsid w:val="000C1628"/>
    <w:rsid w:val="000D3047"/>
    <w:rsid w:val="000D3BA0"/>
    <w:rsid w:val="000F3ECD"/>
    <w:rsid w:val="00103AF5"/>
    <w:rsid w:val="00126268"/>
    <w:rsid w:val="00137EAC"/>
    <w:rsid w:val="00145ECC"/>
    <w:rsid w:val="001576E1"/>
    <w:rsid w:val="00171206"/>
    <w:rsid w:val="00195907"/>
    <w:rsid w:val="001A6A63"/>
    <w:rsid w:val="001C09B5"/>
    <w:rsid w:val="001E522F"/>
    <w:rsid w:val="001F5866"/>
    <w:rsid w:val="00201BA5"/>
    <w:rsid w:val="002035E7"/>
    <w:rsid w:val="002105CD"/>
    <w:rsid w:val="00251324"/>
    <w:rsid w:val="002611BD"/>
    <w:rsid w:val="00276BB9"/>
    <w:rsid w:val="00276BE3"/>
    <w:rsid w:val="00294824"/>
    <w:rsid w:val="002955A2"/>
    <w:rsid w:val="002B24A1"/>
    <w:rsid w:val="002B5672"/>
    <w:rsid w:val="002F01EE"/>
    <w:rsid w:val="002F1C9A"/>
    <w:rsid w:val="003521C2"/>
    <w:rsid w:val="00354AB5"/>
    <w:rsid w:val="003835F2"/>
    <w:rsid w:val="00395562"/>
    <w:rsid w:val="003A21E5"/>
    <w:rsid w:val="003F4D24"/>
    <w:rsid w:val="00430BD7"/>
    <w:rsid w:val="00435CB6"/>
    <w:rsid w:val="0047343C"/>
    <w:rsid w:val="004855F6"/>
    <w:rsid w:val="004A6E54"/>
    <w:rsid w:val="004C1FE4"/>
    <w:rsid w:val="004C4639"/>
    <w:rsid w:val="004D5D76"/>
    <w:rsid w:val="004E456F"/>
    <w:rsid w:val="004F13AC"/>
    <w:rsid w:val="00541FA3"/>
    <w:rsid w:val="0057125B"/>
    <w:rsid w:val="00576C6C"/>
    <w:rsid w:val="00582F1F"/>
    <w:rsid w:val="0059018F"/>
    <w:rsid w:val="005C3D5D"/>
    <w:rsid w:val="005D60FB"/>
    <w:rsid w:val="0063755C"/>
    <w:rsid w:val="00645DF4"/>
    <w:rsid w:val="006472EA"/>
    <w:rsid w:val="006568C5"/>
    <w:rsid w:val="00673757"/>
    <w:rsid w:val="006E14AC"/>
    <w:rsid w:val="006E2F28"/>
    <w:rsid w:val="0071140B"/>
    <w:rsid w:val="0071686D"/>
    <w:rsid w:val="00721557"/>
    <w:rsid w:val="007254E0"/>
    <w:rsid w:val="00752150"/>
    <w:rsid w:val="00761002"/>
    <w:rsid w:val="00766E91"/>
    <w:rsid w:val="007B00F6"/>
    <w:rsid w:val="007B0C44"/>
    <w:rsid w:val="007B76F5"/>
    <w:rsid w:val="007C554F"/>
    <w:rsid w:val="007C59A2"/>
    <w:rsid w:val="007E5394"/>
    <w:rsid w:val="008129E1"/>
    <w:rsid w:val="00832E34"/>
    <w:rsid w:val="00846407"/>
    <w:rsid w:val="00864F7D"/>
    <w:rsid w:val="00890811"/>
    <w:rsid w:val="00890F03"/>
    <w:rsid w:val="008B75E5"/>
    <w:rsid w:val="008D15C9"/>
    <w:rsid w:val="008E0D70"/>
    <w:rsid w:val="008E1DF3"/>
    <w:rsid w:val="008E3012"/>
    <w:rsid w:val="008F45D1"/>
    <w:rsid w:val="0092496D"/>
    <w:rsid w:val="00937E24"/>
    <w:rsid w:val="009618A9"/>
    <w:rsid w:val="00961D9C"/>
    <w:rsid w:val="00965AEA"/>
    <w:rsid w:val="00981D54"/>
    <w:rsid w:val="00984515"/>
    <w:rsid w:val="009E7DA0"/>
    <w:rsid w:val="009F0668"/>
    <w:rsid w:val="009F3575"/>
    <w:rsid w:val="00A17C6D"/>
    <w:rsid w:val="00A25FFA"/>
    <w:rsid w:val="00A36569"/>
    <w:rsid w:val="00A42B1E"/>
    <w:rsid w:val="00A42EC5"/>
    <w:rsid w:val="00A4358B"/>
    <w:rsid w:val="00A4392B"/>
    <w:rsid w:val="00A50C08"/>
    <w:rsid w:val="00A52938"/>
    <w:rsid w:val="00A709EE"/>
    <w:rsid w:val="00A71535"/>
    <w:rsid w:val="00A82243"/>
    <w:rsid w:val="00AA1E28"/>
    <w:rsid w:val="00AB3600"/>
    <w:rsid w:val="00AB3C28"/>
    <w:rsid w:val="00B72E1B"/>
    <w:rsid w:val="00B831C6"/>
    <w:rsid w:val="00B84D47"/>
    <w:rsid w:val="00B85C8C"/>
    <w:rsid w:val="00B97F78"/>
    <w:rsid w:val="00BB0397"/>
    <w:rsid w:val="00BC3CAC"/>
    <w:rsid w:val="00BD4840"/>
    <w:rsid w:val="00BD5DD1"/>
    <w:rsid w:val="00C16C10"/>
    <w:rsid w:val="00C25CCD"/>
    <w:rsid w:val="00C356D9"/>
    <w:rsid w:val="00C43F6C"/>
    <w:rsid w:val="00C4612F"/>
    <w:rsid w:val="00C4646E"/>
    <w:rsid w:val="00C65750"/>
    <w:rsid w:val="00C66149"/>
    <w:rsid w:val="00C81020"/>
    <w:rsid w:val="00C9788E"/>
    <w:rsid w:val="00CB699B"/>
    <w:rsid w:val="00CC6D5F"/>
    <w:rsid w:val="00CE63DA"/>
    <w:rsid w:val="00CF1B21"/>
    <w:rsid w:val="00CF6AC8"/>
    <w:rsid w:val="00D06F39"/>
    <w:rsid w:val="00D34E73"/>
    <w:rsid w:val="00D749AD"/>
    <w:rsid w:val="00D816AB"/>
    <w:rsid w:val="00D9578D"/>
    <w:rsid w:val="00DE0B8D"/>
    <w:rsid w:val="00DE743C"/>
    <w:rsid w:val="00E40C06"/>
    <w:rsid w:val="00E51ED3"/>
    <w:rsid w:val="00E73992"/>
    <w:rsid w:val="00E83839"/>
    <w:rsid w:val="00EA071E"/>
    <w:rsid w:val="00EA21E0"/>
    <w:rsid w:val="00ED254B"/>
    <w:rsid w:val="00ED3FD8"/>
    <w:rsid w:val="00EE18DA"/>
    <w:rsid w:val="00EE24CE"/>
    <w:rsid w:val="00EE5FE5"/>
    <w:rsid w:val="00F00BEF"/>
    <w:rsid w:val="00F0190D"/>
    <w:rsid w:val="00F12EC8"/>
    <w:rsid w:val="00F27785"/>
    <w:rsid w:val="00F37B46"/>
    <w:rsid w:val="00F40A72"/>
    <w:rsid w:val="00F4724F"/>
    <w:rsid w:val="00F53F22"/>
    <w:rsid w:val="00F83153"/>
    <w:rsid w:val="00F86257"/>
    <w:rsid w:val="00FA4BD9"/>
    <w:rsid w:val="00FD72B7"/>
    <w:rsid w:val="00FE2CE0"/>
    <w:rsid w:val="02275AFE"/>
    <w:rsid w:val="100C52DA"/>
    <w:rsid w:val="17DA86B1"/>
    <w:rsid w:val="1BC1581E"/>
    <w:rsid w:val="1F1C7640"/>
    <w:rsid w:val="23D597CF"/>
    <w:rsid w:val="3F9575F3"/>
    <w:rsid w:val="41FDE9CE"/>
    <w:rsid w:val="4F784669"/>
    <w:rsid w:val="533C64BF"/>
    <w:rsid w:val="60832FC0"/>
    <w:rsid w:val="7328E6DE"/>
    <w:rsid w:val="79E5498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BA9E"/>
  <w15:docId w15:val="{3CC5993F-C8C5-4E54-A2B1-A839F2F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99B"/>
    <w:pPr>
      <w:spacing w:after="200" w:line="276" w:lineRule="auto"/>
    </w:pPr>
  </w:style>
  <w:style w:type="paragraph" w:styleId="Heading1">
    <w:name w:val="heading 1"/>
    <w:basedOn w:val="Normal"/>
    <w:next w:val="Normal"/>
    <w:link w:val="Heading1Char"/>
    <w:uiPriority w:val="9"/>
    <w:qFormat/>
    <w:rsid w:val="00CB699B"/>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B699B"/>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CB699B"/>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CB699B"/>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CB699B"/>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B699B"/>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CB699B"/>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CB699B"/>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CB699B"/>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CB699B"/>
    <w:rPr>
      <w:b/>
      <w:bCs/>
      <w:color w:val="5B9BD5" w:themeColor="accent1"/>
      <w:sz w:val="18"/>
      <w:szCs w:val="18"/>
    </w:rPr>
  </w:style>
  <w:style w:type="character" w:customStyle="1" w:styleId="CaptionChar">
    <w:name w:val="Caption Char"/>
    <w:uiPriority w:val="99"/>
    <w:rsid w:val="00CB699B"/>
  </w:style>
  <w:style w:type="paragraph" w:styleId="EndnoteText">
    <w:name w:val="endnote text"/>
    <w:basedOn w:val="Normal"/>
    <w:link w:val="EndnoteTextChar"/>
    <w:uiPriority w:val="99"/>
    <w:semiHidden/>
    <w:unhideWhenUsed/>
    <w:rsid w:val="00CB699B"/>
    <w:pPr>
      <w:spacing w:after="0" w:line="240" w:lineRule="auto"/>
    </w:pPr>
    <w:rPr>
      <w:sz w:val="20"/>
    </w:rPr>
  </w:style>
  <w:style w:type="character" w:customStyle="1" w:styleId="EndnoteTextChar">
    <w:name w:val="Endnote Text Char"/>
    <w:link w:val="EndnoteText"/>
    <w:uiPriority w:val="99"/>
    <w:rsid w:val="00CB699B"/>
    <w:rPr>
      <w:sz w:val="20"/>
    </w:rPr>
  </w:style>
  <w:style w:type="character" w:styleId="EndnoteReference">
    <w:name w:val="endnote reference"/>
    <w:basedOn w:val="DefaultParagraphFont"/>
    <w:uiPriority w:val="99"/>
    <w:semiHidden/>
    <w:unhideWhenUsed/>
    <w:rsid w:val="00CB699B"/>
    <w:rPr>
      <w:vertAlign w:val="superscript"/>
    </w:rPr>
  </w:style>
  <w:style w:type="paragraph" w:styleId="TableofFigures">
    <w:name w:val="table of figures"/>
    <w:basedOn w:val="Normal"/>
    <w:next w:val="Normal"/>
    <w:uiPriority w:val="99"/>
    <w:unhideWhenUsed/>
    <w:rsid w:val="00CB699B"/>
    <w:pPr>
      <w:spacing w:after="0"/>
    </w:pPr>
  </w:style>
  <w:style w:type="character" w:customStyle="1" w:styleId="Heading1Char">
    <w:name w:val="Heading 1 Char"/>
    <w:basedOn w:val="DefaultParagraphFont"/>
    <w:link w:val="Heading1"/>
    <w:uiPriority w:val="9"/>
    <w:rsid w:val="00CB699B"/>
    <w:rPr>
      <w:rFonts w:ascii="Arial" w:eastAsia="Arial" w:hAnsi="Arial" w:cs="Arial"/>
      <w:sz w:val="40"/>
      <w:szCs w:val="40"/>
    </w:rPr>
  </w:style>
  <w:style w:type="character" w:customStyle="1" w:styleId="Heading2Char">
    <w:name w:val="Heading 2 Char"/>
    <w:basedOn w:val="DefaultParagraphFont"/>
    <w:link w:val="Heading2"/>
    <w:uiPriority w:val="9"/>
    <w:rsid w:val="00CB699B"/>
    <w:rPr>
      <w:rFonts w:ascii="Arial" w:eastAsia="Arial" w:hAnsi="Arial" w:cs="Arial"/>
      <w:sz w:val="34"/>
    </w:rPr>
  </w:style>
  <w:style w:type="character" w:customStyle="1" w:styleId="Heading3Char">
    <w:name w:val="Heading 3 Char"/>
    <w:basedOn w:val="DefaultParagraphFont"/>
    <w:link w:val="Heading3"/>
    <w:uiPriority w:val="9"/>
    <w:rsid w:val="00CB699B"/>
    <w:rPr>
      <w:rFonts w:ascii="Arial" w:eastAsia="Arial" w:hAnsi="Arial" w:cs="Arial"/>
      <w:sz w:val="30"/>
      <w:szCs w:val="30"/>
    </w:rPr>
  </w:style>
  <w:style w:type="character" w:customStyle="1" w:styleId="Heading4Char">
    <w:name w:val="Heading 4 Char"/>
    <w:basedOn w:val="DefaultParagraphFont"/>
    <w:link w:val="Heading4"/>
    <w:uiPriority w:val="9"/>
    <w:rsid w:val="00CB699B"/>
    <w:rPr>
      <w:rFonts w:ascii="Arial" w:eastAsia="Arial" w:hAnsi="Arial" w:cs="Arial"/>
      <w:b/>
      <w:bCs/>
      <w:sz w:val="26"/>
      <w:szCs w:val="26"/>
    </w:rPr>
  </w:style>
  <w:style w:type="character" w:customStyle="1" w:styleId="Heading5Char">
    <w:name w:val="Heading 5 Char"/>
    <w:basedOn w:val="DefaultParagraphFont"/>
    <w:link w:val="Heading5"/>
    <w:uiPriority w:val="9"/>
    <w:rsid w:val="00CB699B"/>
    <w:rPr>
      <w:rFonts w:ascii="Arial" w:eastAsia="Arial" w:hAnsi="Arial" w:cs="Arial"/>
      <w:b/>
      <w:bCs/>
      <w:sz w:val="24"/>
      <w:szCs w:val="24"/>
    </w:rPr>
  </w:style>
  <w:style w:type="character" w:customStyle="1" w:styleId="Heading6Char">
    <w:name w:val="Heading 6 Char"/>
    <w:basedOn w:val="DefaultParagraphFont"/>
    <w:link w:val="Heading6"/>
    <w:uiPriority w:val="9"/>
    <w:rsid w:val="00CB699B"/>
    <w:rPr>
      <w:rFonts w:ascii="Arial" w:eastAsia="Arial" w:hAnsi="Arial" w:cs="Arial"/>
      <w:b/>
      <w:bCs/>
      <w:sz w:val="22"/>
      <w:szCs w:val="22"/>
    </w:rPr>
  </w:style>
  <w:style w:type="character" w:customStyle="1" w:styleId="Heading7Char">
    <w:name w:val="Heading 7 Char"/>
    <w:basedOn w:val="DefaultParagraphFont"/>
    <w:link w:val="Heading7"/>
    <w:uiPriority w:val="9"/>
    <w:rsid w:val="00CB699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CB699B"/>
    <w:rPr>
      <w:rFonts w:ascii="Arial" w:eastAsia="Arial" w:hAnsi="Arial" w:cs="Arial"/>
      <w:i/>
      <w:iCs/>
      <w:sz w:val="22"/>
      <w:szCs w:val="22"/>
    </w:rPr>
  </w:style>
  <w:style w:type="character" w:customStyle="1" w:styleId="Heading9Char">
    <w:name w:val="Heading 9 Char"/>
    <w:basedOn w:val="DefaultParagraphFont"/>
    <w:link w:val="Heading9"/>
    <w:uiPriority w:val="9"/>
    <w:rsid w:val="00CB699B"/>
    <w:rPr>
      <w:rFonts w:ascii="Arial" w:eastAsia="Arial" w:hAnsi="Arial" w:cs="Arial"/>
      <w:i/>
      <w:iCs/>
      <w:sz w:val="21"/>
      <w:szCs w:val="21"/>
    </w:rPr>
  </w:style>
  <w:style w:type="paragraph" w:styleId="NoSpacing">
    <w:name w:val="No Spacing"/>
    <w:uiPriority w:val="1"/>
    <w:qFormat/>
    <w:rsid w:val="00CB699B"/>
    <w:pPr>
      <w:spacing w:after="0" w:line="240" w:lineRule="auto"/>
    </w:pPr>
  </w:style>
  <w:style w:type="paragraph" w:styleId="Title">
    <w:name w:val="Title"/>
    <w:basedOn w:val="Normal"/>
    <w:next w:val="Normal"/>
    <w:link w:val="TitleChar"/>
    <w:uiPriority w:val="10"/>
    <w:qFormat/>
    <w:rsid w:val="00CB699B"/>
    <w:pPr>
      <w:spacing w:before="300"/>
      <w:contextualSpacing/>
    </w:pPr>
    <w:rPr>
      <w:sz w:val="48"/>
      <w:szCs w:val="48"/>
    </w:rPr>
  </w:style>
  <w:style w:type="character" w:customStyle="1" w:styleId="TitleChar">
    <w:name w:val="Title Char"/>
    <w:basedOn w:val="DefaultParagraphFont"/>
    <w:link w:val="Title"/>
    <w:uiPriority w:val="10"/>
    <w:rsid w:val="00CB699B"/>
    <w:rPr>
      <w:sz w:val="48"/>
      <w:szCs w:val="48"/>
    </w:rPr>
  </w:style>
  <w:style w:type="paragraph" w:styleId="Subtitle">
    <w:name w:val="Subtitle"/>
    <w:basedOn w:val="Normal"/>
    <w:next w:val="Normal"/>
    <w:link w:val="SubtitleChar"/>
    <w:uiPriority w:val="11"/>
    <w:qFormat/>
    <w:rsid w:val="00CB699B"/>
    <w:pPr>
      <w:spacing w:before="200"/>
    </w:pPr>
    <w:rPr>
      <w:sz w:val="24"/>
      <w:szCs w:val="24"/>
    </w:rPr>
  </w:style>
  <w:style w:type="character" w:customStyle="1" w:styleId="SubtitleChar">
    <w:name w:val="Subtitle Char"/>
    <w:basedOn w:val="DefaultParagraphFont"/>
    <w:link w:val="Subtitle"/>
    <w:uiPriority w:val="11"/>
    <w:rsid w:val="00CB699B"/>
    <w:rPr>
      <w:sz w:val="24"/>
      <w:szCs w:val="24"/>
    </w:rPr>
  </w:style>
  <w:style w:type="paragraph" w:styleId="Quote">
    <w:name w:val="Quote"/>
    <w:basedOn w:val="Normal"/>
    <w:next w:val="Normal"/>
    <w:link w:val="QuoteChar"/>
    <w:uiPriority w:val="29"/>
    <w:qFormat/>
    <w:rsid w:val="00CB699B"/>
    <w:pPr>
      <w:ind w:left="720" w:right="720"/>
    </w:pPr>
    <w:rPr>
      <w:i/>
    </w:rPr>
  </w:style>
  <w:style w:type="character" w:customStyle="1" w:styleId="QuoteChar">
    <w:name w:val="Quote Char"/>
    <w:link w:val="Quote"/>
    <w:uiPriority w:val="29"/>
    <w:rsid w:val="00CB699B"/>
    <w:rPr>
      <w:i/>
    </w:rPr>
  </w:style>
  <w:style w:type="paragraph" w:styleId="IntenseQuote">
    <w:name w:val="Intense Quote"/>
    <w:basedOn w:val="Normal"/>
    <w:next w:val="Normal"/>
    <w:link w:val="IntenseQuoteChar"/>
    <w:uiPriority w:val="30"/>
    <w:qFormat/>
    <w:rsid w:val="00CB699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CB699B"/>
    <w:rPr>
      <w:i/>
    </w:rPr>
  </w:style>
  <w:style w:type="paragraph" w:styleId="Header">
    <w:name w:val="header"/>
    <w:basedOn w:val="Normal"/>
    <w:link w:val="HeaderChar"/>
    <w:uiPriority w:val="99"/>
    <w:unhideWhenUsed/>
    <w:rsid w:val="00CB699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CB699B"/>
  </w:style>
  <w:style w:type="paragraph" w:styleId="Footer">
    <w:name w:val="footer"/>
    <w:basedOn w:val="Normal"/>
    <w:link w:val="FooterChar"/>
    <w:uiPriority w:val="99"/>
    <w:unhideWhenUsed/>
    <w:rsid w:val="00CB699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CB699B"/>
  </w:style>
  <w:style w:type="table" w:customStyle="1" w:styleId="TableGridLight1">
    <w:name w:val="Table Grid Light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CB699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CB699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CB699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CB699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CB699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CB699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CB699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CB699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CB699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CB699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CB699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CB699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CB699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CB699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CB699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CB699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CB699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CB699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CB699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CB699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CB699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CB699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CB699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CB699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CB699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CB699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CB699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CB699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CB699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CB699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CB699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CB699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CB699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CB699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CB699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CB699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CB699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CB699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CB699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CB699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CB699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CB699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CB699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CB699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CB699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CB699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CB699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CB699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CB699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rsid w:val="00CB699B"/>
    <w:pPr>
      <w:spacing w:after="40" w:line="240" w:lineRule="auto"/>
    </w:pPr>
    <w:rPr>
      <w:sz w:val="18"/>
    </w:rPr>
  </w:style>
  <w:style w:type="character" w:customStyle="1" w:styleId="FootnoteTextChar">
    <w:name w:val="Footnote Text Char"/>
    <w:link w:val="FootnoteText"/>
    <w:uiPriority w:val="99"/>
    <w:rsid w:val="00CB699B"/>
    <w:rPr>
      <w:sz w:val="18"/>
    </w:rPr>
  </w:style>
  <w:style w:type="character" w:styleId="FootnoteReference">
    <w:name w:val="footnote reference"/>
    <w:basedOn w:val="DefaultParagraphFont"/>
    <w:uiPriority w:val="99"/>
    <w:unhideWhenUsed/>
    <w:rsid w:val="00CB699B"/>
    <w:rPr>
      <w:vertAlign w:val="superscript"/>
    </w:rPr>
  </w:style>
  <w:style w:type="paragraph" w:styleId="TOC1">
    <w:name w:val="toc 1"/>
    <w:basedOn w:val="Normal"/>
    <w:next w:val="Normal"/>
    <w:uiPriority w:val="39"/>
    <w:unhideWhenUsed/>
    <w:rsid w:val="00CB699B"/>
    <w:pPr>
      <w:spacing w:after="57"/>
    </w:pPr>
  </w:style>
  <w:style w:type="paragraph" w:styleId="TOC2">
    <w:name w:val="toc 2"/>
    <w:basedOn w:val="Normal"/>
    <w:next w:val="Normal"/>
    <w:uiPriority w:val="39"/>
    <w:unhideWhenUsed/>
    <w:rsid w:val="00CB699B"/>
    <w:pPr>
      <w:spacing w:after="57"/>
      <w:ind w:left="283"/>
    </w:pPr>
  </w:style>
  <w:style w:type="paragraph" w:styleId="TOC3">
    <w:name w:val="toc 3"/>
    <w:basedOn w:val="Normal"/>
    <w:next w:val="Normal"/>
    <w:uiPriority w:val="39"/>
    <w:unhideWhenUsed/>
    <w:rsid w:val="00CB699B"/>
    <w:pPr>
      <w:spacing w:after="57"/>
      <w:ind w:left="567"/>
    </w:pPr>
  </w:style>
  <w:style w:type="paragraph" w:styleId="TOC4">
    <w:name w:val="toc 4"/>
    <w:basedOn w:val="Normal"/>
    <w:next w:val="Normal"/>
    <w:uiPriority w:val="39"/>
    <w:unhideWhenUsed/>
    <w:rsid w:val="00CB699B"/>
    <w:pPr>
      <w:spacing w:after="57"/>
      <w:ind w:left="850"/>
    </w:pPr>
  </w:style>
  <w:style w:type="paragraph" w:styleId="TOC5">
    <w:name w:val="toc 5"/>
    <w:basedOn w:val="Normal"/>
    <w:next w:val="Normal"/>
    <w:uiPriority w:val="39"/>
    <w:unhideWhenUsed/>
    <w:rsid w:val="00CB699B"/>
    <w:pPr>
      <w:spacing w:after="57"/>
      <w:ind w:left="1134"/>
    </w:pPr>
  </w:style>
  <w:style w:type="paragraph" w:styleId="TOC6">
    <w:name w:val="toc 6"/>
    <w:basedOn w:val="Normal"/>
    <w:next w:val="Normal"/>
    <w:uiPriority w:val="39"/>
    <w:unhideWhenUsed/>
    <w:rsid w:val="00CB699B"/>
    <w:pPr>
      <w:spacing w:after="57"/>
      <w:ind w:left="1417"/>
    </w:pPr>
  </w:style>
  <w:style w:type="paragraph" w:styleId="TOC7">
    <w:name w:val="toc 7"/>
    <w:basedOn w:val="Normal"/>
    <w:next w:val="Normal"/>
    <w:uiPriority w:val="39"/>
    <w:unhideWhenUsed/>
    <w:rsid w:val="00CB699B"/>
    <w:pPr>
      <w:spacing w:after="57"/>
      <w:ind w:left="1701"/>
    </w:pPr>
  </w:style>
  <w:style w:type="paragraph" w:styleId="TOC8">
    <w:name w:val="toc 8"/>
    <w:basedOn w:val="Normal"/>
    <w:next w:val="Normal"/>
    <w:uiPriority w:val="39"/>
    <w:unhideWhenUsed/>
    <w:rsid w:val="00CB699B"/>
    <w:pPr>
      <w:spacing w:after="57"/>
      <w:ind w:left="1984"/>
    </w:pPr>
  </w:style>
  <w:style w:type="paragraph" w:styleId="TOC9">
    <w:name w:val="toc 9"/>
    <w:basedOn w:val="Normal"/>
    <w:next w:val="Normal"/>
    <w:uiPriority w:val="39"/>
    <w:unhideWhenUsed/>
    <w:rsid w:val="00CB699B"/>
    <w:pPr>
      <w:spacing w:after="57"/>
      <w:ind w:left="2268"/>
    </w:pPr>
  </w:style>
  <w:style w:type="paragraph" w:styleId="TOCHeading">
    <w:name w:val="TOC Heading"/>
    <w:uiPriority w:val="39"/>
    <w:unhideWhenUsed/>
    <w:rsid w:val="00CB699B"/>
  </w:style>
  <w:style w:type="table" w:styleId="TableGrid">
    <w:name w:val="Table Grid"/>
    <w:basedOn w:val="TableNormal"/>
    <w:uiPriority w:val="59"/>
    <w:rsid w:val="00CB699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B699B"/>
    <w:pPr>
      <w:spacing w:after="0" w:line="240" w:lineRule="auto"/>
    </w:pPr>
    <w:rPr>
      <w:rFonts w:ascii="EUAlbertina" w:hAnsi="EUAlbertina" w:cs="EUAlbertina"/>
      <w:color w:val="000000"/>
      <w:sz w:val="24"/>
      <w:szCs w:val="24"/>
    </w:rPr>
  </w:style>
  <w:style w:type="character" w:styleId="Hyperlink">
    <w:name w:val="Hyperlink"/>
    <w:basedOn w:val="DefaultParagraphFont"/>
    <w:uiPriority w:val="99"/>
    <w:semiHidden/>
    <w:unhideWhenUsed/>
    <w:rsid w:val="00CB699B"/>
    <w:rPr>
      <w:color w:val="0000FF"/>
      <w:u w:val="single"/>
    </w:rPr>
  </w:style>
  <w:style w:type="paragraph" w:customStyle="1" w:styleId="CM1">
    <w:name w:val="CM1"/>
    <w:basedOn w:val="Default"/>
    <w:next w:val="Default"/>
    <w:uiPriority w:val="99"/>
    <w:rsid w:val="00CB699B"/>
    <w:rPr>
      <w:rFonts w:cs="Calibri"/>
      <w:color w:val="auto"/>
    </w:rPr>
  </w:style>
  <w:style w:type="paragraph" w:customStyle="1" w:styleId="CM4">
    <w:name w:val="CM4"/>
    <w:basedOn w:val="Default"/>
    <w:next w:val="Default"/>
    <w:uiPriority w:val="99"/>
    <w:rsid w:val="00CB699B"/>
    <w:rPr>
      <w:rFonts w:cs="Calibri"/>
      <w:color w:val="auto"/>
    </w:rPr>
  </w:style>
  <w:style w:type="character" w:customStyle="1" w:styleId="markedcontent">
    <w:name w:val="markedcontent"/>
    <w:basedOn w:val="DefaultParagraphFont"/>
    <w:rsid w:val="00CB699B"/>
  </w:style>
  <w:style w:type="character" w:customStyle="1" w:styleId="jlqj4b">
    <w:name w:val="jlqj4b"/>
    <w:basedOn w:val="DefaultParagraphFont"/>
    <w:rsid w:val="00CB699B"/>
  </w:style>
  <w:style w:type="paragraph" w:styleId="ListParagraph">
    <w:name w:val="List Paragraph"/>
    <w:basedOn w:val="Normal"/>
    <w:uiPriority w:val="34"/>
    <w:qFormat/>
    <w:rsid w:val="00CB699B"/>
    <w:pPr>
      <w:ind w:left="720"/>
      <w:contextualSpacing/>
    </w:pPr>
  </w:style>
  <w:style w:type="paragraph" w:styleId="CommentText">
    <w:name w:val="annotation text"/>
    <w:basedOn w:val="Normal"/>
    <w:link w:val="CommentTextChar"/>
    <w:uiPriority w:val="99"/>
    <w:semiHidden/>
    <w:unhideWhenUsed/>
    <w:rsid w:val="00CB699B"/>
    <w:pPr>
      <w:spacing w:line="240" w:lineRule="auto"/>
    </w:pPr>
    <w:rPr>
      <w:sz w:val="20"/>
      <w:szCs w:val="20"/>
    </w:rPr>
  </w:style>
  <w:style w:type="character" w:customStyle="1" w:styleId="CommentTextChar">
    <w:name w:val="Comment Text Char"/>
    <w:basedOn w:val="DefaultParagraphFont"/>
    <w:link w:val="CommentText"/>
    <w:uiPriority w:val="99"/>
    <w:semiHidden/>
    <w:rsid w:val="00CB699B"/>
    <w:rPr>
      <w:sz w:val="20"/>
      <w:szCs w:val="20"/>
    </w:rPr>
  </w:style>
  <w:style w:type="character" w:styleId="CommentReference">
    <w:name w:val="annotation reference"/>
    <w:basedOn w:val="DefaultParagraphFont"/>
    <w:uiPriority w:val="99"/>
    <w:semiHidden/>
    <w:unhideWhenUsed/>
    <w:rsid w:val="00CB699B"/>
    <w:rPr>
      <w:sz w:val="16"/>
      <w:szCs w:val="16"/>
    </w:rPr>
  </w:style>
  <w:style w:type="character" w:customStyle="1" w:styleId="docdata">
    <w:name w:val="docdata"/>
    <w:basedOn w:val="DefaultParagraphFont"/>
    <w:rsid w:val="00CB699B"/>
  </w:style>
  <w:style w:type="paragraph" w:styleId="Revision">
    <w:name w:val="Revision"/>
    <w:hidden/>
    <w:uiPriority w:val="99"/>
    <w:semiHidden/>
    <w:rsid w:val="004855F6"/>
    <w:pPr>
      <w:spacing w:after="0" w:line="240" w:lineRule="auto"/>
    </w:pPr>
  </w:style>
  <w:style w:type="paragraph" w:customStyle="1" w:styleId="placeholderparagraph">
    <w:name w:val="placeholder_paragraph"/>
    <w:qFormat/>
    <w:rPr>
      <w:rFonts w:ascii="Times New Roman" w:hAnsi="Times New Roman" w:cs="Times New Roman"/>
      <w:sz w:val="28"/>
    </w:rPr>
  </w:style>
  <w:style w:type="paragraph" w:styleId="CommentSubject">
    <w:name w:val="annotation subject"/>
    <w:basedOn w:val="CommentText"/>
    <w:next w:val="CommentText"/>
    <w:link w:val="CommentSubjectChar"/>
    <w:uiPriority w:val="99"/>
    <w:semiHidden/>
    <w:unhideWhenUsed/>
    <w:rsid w:val="00EA071E"/>
    <w:rPr>
      <w:b/>
      <w:bCs/>
    </w:rPr>
  </w:style>
  <w:style w:type="character" w:customStyle="1" w:styleId="CommentSubjectChar">
    <w:name w:val="Comment Subject Char"/>
    <w:basedOn w:val="CommentTextChar"/>
    <w:link w:val="CommentSubject"/>
    <w:uiPriority w:val="99"/>
    <w:semiHidden/>
    <w:rsid w:val="00EA071E"/>
    <w:rPr>
      <w:b/>
      <w:bCs/>
      <w:sz w:val="20"/>
      <w:szCs w:val="20"/>
    </w:rPr>
  </w:style>
  <w:style w:type="character" w:customStyle="1" w:styleId="rphighlightallclass">
    <w:name w:val="rphighlightallclass"/>
    <w:basedOn w:val="DefaultParagraphFont"/>
    <w:rsid w:val="000451A6"/>
  </w:style>
  <w:style w:type="character" w:customStyle="1" w:styleId="rpk1">
    <w:name w:val="_rp_k1"/>
    <w:basedOn w:val="DefaultParagraphFont"/>
    <w:rsid w:val="000451A6"/>
  </w:style>
  <w:style w:type="character" w:customStyle="1" w:styleId="pel">
    <w:name w:val="_pe_l"/>
    <w:basedOn w:val="DefaultParagraphFont"/>
    <w:rsid w:val="000451A6"/>
  </w:style>
  <w:style w:type="character" w:customStyle="1" w:styleId="bidi">
    <w:name w:val="bidi"/>
    <w:basedOn w:val="DefaultParagraphFont"/>
    <w:rsid w:val="000451A6"/>
  </w:style>
  <w:style w:type="character" w:customStyle="1" w:styleId="rpu1">
    <w:name w:val="_rp_u1"/>
    <w:basedOn w:val="DefaultParagraphFont"/>
    <w:rsid w:val="000451A6"/>
  </w:style>
  <w:style w:type="character" w:customStyle="1" w:styleId="allowtextselection">
    <w:name w:val="allowtextselection"/>
    <w:basedOn w:val="DefaultParagraphFont"/>
    <w:rsid w:val="000451A6"/>
  </w:style>
  <w:style w:type="character" w:customStyle="1" w:styleId="dbq">
    <w:name w:val="_db_q"/>
    <w:basedOn w:val="DefaultParagraphFont"/>
    <w:rsid w:val="000451A6"/>
  </w:style>
  <w:style w:type="paragraph" w:customStyle="1" w:styleId="xmsonormal">
    <w:name w:val="x_msonormal"/>
    <w:basedOn w:val="Normal"/>
    <w:rsid w:val="000451A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E83839"/>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722045">
      <w:bodyDiv w:val="1"/>
      <w:marLeft w:val="0"/>
      <w:marRight w:val="0"/>
      <w:marTop w:val="0"/>
      <w:marBottom w:val="0"/>
      <w:divBdr>
        <w:top w:val="none" w:sz="0" w:space="0" w:color="auto"/>
        <w:left w:val="none" w:sz="0" w:space="0" w:color="auto"/>
        <w:bottom w:val="none" w:sz="0" w:space="0" w:color="auto"/>
        <w:right w:val="none" w:sz="0" w:space="0" w:color="auto"/>
      </w:divBdr>
    </w:div>
    <w:div w:id="2046248566">
      <w:bodyDiv w:val="1"/>
      <w:marLeft w:val="0"/>
      <w:marRight w:val="0"/>
      <w:marTop w:val="0"/>
      <w:marBottom w:val="0"/>
      <w:divBdr>
        <w:top w:val="none" w:sz="0" w:space="0" w:color="auto"/>
        <w:left w:val="none" w:sz="0" w:space="0" w:color="auto"/>
        <w:bottom w:val="none" w:sz="0" w:space="0" w:color="auto"/>
        <w:right w:val="none" w:sz="0" w:space="0" w:color="auto"/>
      </w:divBdr>
    </w:div>
    <w:div w:id="2120636309">
      <w:bodyDiv w:val="1"/>
      <w:marLeft w:val="0"/>
      <w:marRight w:val="0"/>
      <w:marTop w:val="0"/>
      <w:marBottom w:val="0"/>
      <w:divBdr>
        <w:top w:val="none" w:sz="0" w:space="0" w:color="auto"/>
        <w:left w:val="none" w:sz="0" w:space="0" w:color="auto"/>
        <w:bottom w:val="none" w:sz="0" w:space="0" w:color="auto"/>
        <w:right w:val="none" w:sz="0" w:space="0" w:color="auto"/>
      </w:divBdr>
      <w:divsChild>
        <w:div w:id="1244877860">
          <w:marLeft w:val="0"/>
          <w:marRight w:val="0"/>
          <w:marTop w:val="0"/>
          <w:marBottom w:val="135"/>
          <w:divBdr>
            <w:top w:val="none" w:sz="0" w:space="0" w:color="auto"/>
            <w:left w:val="none" w:sz="0" w:space="0" w:color="auto"/>
            <w:bottom w:val="none" w:sz="0" w:space="0" w:color="auto"/>
            <w:right w:val="none" w:sz="0" w:space="0" w:color="auto"/>
          </w:divBdr>
          <w:divsChild>
            <w:div w:id="457914944">
              <w:marLeft w:val="0"/>
              <w:marRight w:val="0"/>
              <w:marTop w:val="0"/>
              <w:marBottom w:val="0"/>
              <w:divBdr>
                <w:top w:val="none" w:sz="0" w:space="0" w:color="auto"/>
                <w:left w:val="none" w:sz="0" w:space="0" w:color="auto"/>
                <w:bottom w:val="none" w:sz="0" w:space="0" w:color="auto"/>
                <w:right w:val="none" w:sz="0" w:space="0" w:color="auto"/>
              </w:divBdr>
              <w:divsChild>
                <w:div w:id="174602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943759">
          <w:marLeft w:val="0"/>
          <w:marRight w:val="0"/>
          <w:marTop w:val="0"/>
          <w:marBottom w:val="0"/>
          <w:divBdr>
            <w:top w:val="none" w:sz="0" w:space="0" w:color="auto"/>
            <w:left w:val="none" w:sz="0" w:space="0" w:color="auto"/>
            <w:bottom w:val="none" w:sz="0" w:space="0" w:color="auto"/>
            <w:right w:val="none" w:sz="0" w:space="0" w:color="auto"/>
          </w:divBdr>
          <w:divsChild>
            <w:div w:id="1638224971">
              <w:marLeft w:val="0"/>
              <w:marRight w:val="0"/>
              <w:marTop w:val="0"/>
              <w:marBottom w:val="0"/>
              <w:divBdr>
                <w:top w:val="none" w:sz="0" w:space="0" w:color="auto"/>
                <w:left w:val="none" w:sz="0" w:space="0" w:color="auto"/>
                <w:bottom w:val="none" w:sz="0" w:space="0" w:color="auto"/>
                <w:right w:val="none" w:sz="0" w:space="0" w:color="auto"/>
              </w:divBdr>
              <w:divsChild>
                <w:div w:id="928923683">
                  <w:marLeft w:val="0"/>
                  <w:marRight w:val="0"/>
                  <w:marTop w:val="0"/>
                  <w:marBottom w:val="60"/>
                  <w:divBdr>
                    <w:top w:val="none" w:sz="0" w:space="0" w:color="auto"/>
                    <w:left w:val="none" w:sz="0" w:space="0" w:color="auto"/>
                    <w:bottom w:val="none" w:sz="0" w:space="0" w:color="auto"/>
                    <w:right w:val="none" w:sz="0" w:space="0" w:color="auto"/>
                  </w:divBdr>
                  <w:divsChild>
                    <w:div w:id="1426078565">
                      <w:marLeft w:val="0"/>
                      <w:marRight w:val="0"/>
                      <w:marTop w:val="0"/>
                      <w:marBottom w:val="0"/>
                      <w:divBdr>
                        <w:top w:val="none" w:sz="0" w:space="0" w:color="auto"/>
                        <w:left w:val="none" w:sz="0" w:space="0" w:color="auto"/>
                        <w:bottom w:val="none" w:sz="0" w:space="0" w:color="auto"/>
                        <w:right w:val="none" w:sz="0" w:space="0" w:color="auto"/>
                      </w:divBdr>
                      <w:divsChild>
                        <w:div w:id="946817075">
                          <w:marLeft w:val="0"/>
                          <w:marRight w:val="0"/>
                          <w:marTop w:val="0"/>
                          <w:marBottom w:val="0"/>
                          <w:divBdr>
                            <w:top w:val="none" w:sz="0" w:space="0" w:color="auto"/>
                            <w:left w:val="none" w:sz="0" w:space="0" w:color="auto"/>
                            <w:bottom w:val="none" w:sz="0" w:space="0" w:color="auto"/>
                            <w:right w:val="none" w:sz="0" w:space="0" w:color="auto"/>
                          </w:divBdr>
                          <w:divsChild>
                            <w:div w:id="940725048">
                              <w:marLeft w:val="0"/>
                              <w:marRight w:val="0"/>
                              <w:marTop w:val="0"/>
                              <w:marBottom w:val="30"/>
                              <w:divBdr>
                                <w:top w:val="none" w:sz="0" w:space="0" w:color="auto"/>
                                <w:left w:val="none" w:sz="0" w:space="0" w:color="auto"/>
                                <w:bottom w:val="none" w:sz="0" w:space="0" w:color="auto"/>
                                <w:right w:val="none" w:sz="0" w:space="0" w:color="auto"/>
                              </w:divBdr>
                              <w:divsChild>
                                <w:div w:id="157045103">
                                  <w:marLeft w:val="0"/>
                                  <w:marRight w:val="0"/>
                                  <w:marTop w:val="0"/>
                                  <w:marBottom w:val="0"/>
                                  <w:divBdr>
                                    <w:top w:val="none" w:sz="0" w:space="0" w:color="auto"/>
                                    <w:left w:val="none" w:sz="0" w:space="0" w:color="auto"/>
                                    <w:bottom w:val="none" w:sz="0" w:space="0" w:color="auto"/>
                                    <w:right w:val="none" w:sz="0" w:space="0" w:color="auto"/>
                                  </w:divBdr>
                                  <w:divsChild>
                                    <w:div w:id="1161652448">
                                      <w:marLeft w:val="0"/>
                                      <w:marRight w:val="0"/>
                                      <w:marTop w:val="0"/>
                                      <w:marBottom w:val="0"/>
                                      <w:divBdr>
                                        <w:top w:val="none" w:sz="0" w:space="0" w:color="auto"/>
                                        <w:left w:val="none" w:sz="0" w:space="0" w:color="auto"/>
                                        <w:bottom w:val="none" w:sz="0" w:space="0" w:color="auto"/>
                                        <w:right w:val="none" w:sz="0" w:space="0" w:color="auto"/>
                                      </w:divBdr>
                                      <w:divsChild>
                                        <w:div w:id="270402749">
                                          <w:marLeft w:val="0"/>
                                          <w:marRight w:val="0"/>
                                          <w:marTop w:val="0"/>
                                          <w:marBottom w:val="0"/>
                                          <w:divBdr>
                                            <w:top w:val="none" w:sz="0" w:space="0" w:color="auto"/>
                                            <w:left w:val="none" w:sz="0" w:space="0" w:color="auto"/>
                                            <w:bottom w:val="none" w:sz="0" w:space="0" w:color="auto"/>
                                            <w:right w:val="none" w:sz="0" w:space="0" w:color="auto"/>
                                          </w:divBdr>
                                          <w:divsChild>
                                            <w:div w:id="95828846">
                                              <w:marLeft w:val="0"/>
                                              <w:marRight w:val="150"/>
                                              <w:marTop w:val="150"/>
                                              <w:marBottom w:val="0"/>
                                              <w:divBdr>
                                                <w:top w:val="none" w:sz="0" w:space="0" w:color="auto"/>
                                                <w:left w:val="none" w:sz="0" w:space="0" w:color="auto"/>
                                                <w:bottom w:val="none" w:sz="0" w:space="0" w:color="auto"/>
                                                <w:right w:val="none" w:sz="0" w:space="0" w:color="auto"/>
                                              </w:divBdr>
                                              <w:divsChild>
                                                <w:div w:id="55856861">
                                                  <w:marLeft w:val="0"/>
                                                  <w:marRight w:val="0"/>
                                                  <w:marTop w:val="0"/>
                                                  <w:marBottom w:val="0"/>
                                                  <w:divBdr>
                                                    <w:top w:val="none" w:sz="0" w:space="0" w:color="auto"/>
                                                    <w:left w:val="none" w:sz="0" w:space="0" w:color="auto"/>
                                                    <w:bottom w:val="none" w:sz="0" w:space="0" w:color="auto"/>
                                                    <w:right w:val="none" w:sz="0" w:space="0" w:color="auto"/>
                                                  </w:divBdr>
                                                  <w:divsChild>
                                                    <w:div w:id="1996520357">
                                                      <w:marLeft w:val="0"/>
                                                      <w:marRight w:val="0"/>
                                                      <w:marTop w:val="0"/>
                                                      <w:marBottom w:val="0"/>
                                                      <w:divBdr>
                                                        <w:top w:val="none" w:sz="0" w:space="0" w:color="auto"/>
                                                        <w:left w:val="none" w:sz="0" w:space="0" w:color="auto"/>
                                                        <w:bottom w:val="none" w:sz="0" w:space="0" w:color="auto"/>
                                                        <w:right w:val="none" w:sz="0" w:space="0" w:color="auto"/>
                                                      </w:divBdr>
                                                      <w:divsChild>
                                                        <w:div w:id="520510056">
                                                          <w:marLeft w:val="0"/>
                                                          <w:marRight w:val="0"/>
                                                          <w:marTop w:val="0"/>
                                                          <w:marBottom w:val="0"/>
                                                          <w:divBdr>
                                                            <w:top w:val="none" w:sz="0" w:space="0" w:color="auto"/>
                                                            <w:left w:val="none" w:sz="0" w:space="0" w:color="auto"/>
                                                            <w:bottom w:val="none" w:sz="0" w:space="0" w:color="auto"/>
                                                            <w:right w:val="none" w:sz="0" w:space="0" w:color="auto"/>
                                                          </w:divBdr>
                                                          <w:divsChild>
                                                            <w:div w:id="2044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632345">
                                      <w:marLeft w:val="0"/>
                                      <w:marRight w:val="0"/>
                                      <w:marTop w:val="0"/>
                                      <w:marBottom w:val="0"/>
                                      <w:divBdr>
                                        <w:top w:val="none" w:sz="0" w:space="0" w:color="auto"/>
                                        <w:left w:val="none" w:sz="0" w:space="0" w:color="auto"/>
                                        <w:bottom w:val="none" w:sz="0" w:space="0" w:color="auto"/>
                                        <w:right w:val="none" w:sz="0" w:space="0" w:color="auto"/>
                                      </w:divBdr>
                                      <w:divsChild>
                                        <w:div w:id="189490853">
                                          <w:marLeft w:val="0"/>
                                          <w:marRight w:val="0"/>
                                          <w:marTop w:val="0"/>
                                          <w:marBottom w:val="0"/>
                                          <w:divBdr>
                                            <w:top w:val="none" w:sz="0" w:space="0" w:color="auto"/>
                                            <w:left w:val="none" w:sz="0" w:space="0" w:color="auto"/>
                                            <w:bottom w:val="none" w:sz="0" w:space="0" w:color="auto"/>
                                            <w:right w:val="none" w:sz="0" w:space="0" w:color="auto"/>
                                          </w:divBdr>
                                          <w:divsChild>
                                            <w:div w:id="721830890">
                                              <w:marLeft w:val="0"/>
                                              <w:marRight w:val="0"/>
                                              <w:marTop w:val="0"/>
                                              <w:marBottom w:val="0"/>
                                              <w:divBdr>
                                                <w:top w:val="none" w:sz="0" w:space="0" w:color="auto"/>
                                                <w:left w:val="none" w:sz="0" w:space="0" w:color="auto"/>
                                                <w:bottom w:val="none" w:sz="0" w:space="0" w:color="auto"/>
                                                <w:right w:val="none" w:sz="0" w:space="0" w:color="auto"/>
                                              </w:divBdr>
                                              <w:divsChild>
                                                <w:div w:id="301272830">
                                                  <w:marLeft w:val="0"/>
                                                  <w:marRight w:val="0"/>
                                                  <w:marTop w:val="0"/>
                                                  <w:marBottom w:val="0"/>
                                                  <w:divBdr>
                                                    <w:top w:val="none" w:sz="0" w:space="0" w:color="auto"/>
                                                    <w:left w:val="none" w:sz="0" w:space="0" w:color="auto"/>
                                                    <w:bottom w:val="none" w:sz="0" w:space="0" w:color="auto"/>
                                                    <w:right w:val="none" w:sz="0" w:space="0" w:color="auto"/>
                                                  </w:divBdr>
                                                  <w:divsChild>
                                                    <w:div w:id="1358896714">
                                                      <w:marLeft w:val="0"/>
                                                      <w:marRight w:val="0"/>
                                                      <w:marTop w:val="0"/>
                                                      <w:marBottom w:val="75"/>
                                                      <w:divBdr>
                                                        <w:top w:val="none" w:sz="0" w:space="0" w:color="auto"/>
                                                        <w:left w:val="none" w:sz="0" w:space="0" w:color="auto"/>
                                                        <w:bottom w:val="none" w:sz="0" w:space="0" w:color="auto"/>
                                                        <w:right w:val="none" w:sz="0" w:space="0" w:color="auto"/>
                                                      </w:divBdr>
                                                      <w:divsChild>
                                                        <w:div w:id="19745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244342">
                                          <w:marLeft w:val="0"/>
                                          <w:marRight w:val="0"/>
                                          <w:marTop w:val="0"/>
                                          <w:marBottom w:val="0"/>
                                          <w:divBdr>
                                            <w:top w:val="none" w:sz="0" w:space="0" w:color="auto"/>
                                            <w:left w:val="none" w:sz="0" w:space="0" w:color="auto"/>
                                            <w:bottom w:val="none" w:sz="0" w:space="0" w:color="auto"/>
                                            <w:right w:val="none" w:sz="0" w:space="0" w:color="auto"/>
                                          </w:divBdr>
                                          <w:divsChild>
                                            <w:div w:id="1438519187">
                                              <w:marLeft w:val="0"/>
                                              <w:marRight w:val="0"/>
                                              <w:marTop w:val="0"/>
                                              <w:marBottom w:val="0"/>
                                              <w:divBdr>
                                                <w:top w:val="none" w:sz="0" w:space="0" w:color="auto"/>
                                                <w:left w:val="none" w:sz="0" w:space="0" w:color="auto"/>
                                                <w:bottom w:val="none" w:sz="0" w:space="0" w:color="auto"/>
                                                <w:right w:val="none" w:sz="0" w:space="0" w:color="auto"/>
                                              </w:divBdr>
                                              <w:divsChild>
                                                <w:div w:id="115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507">
                                          <w:marLeft w:val="0"/>
                                          <w:marRight w:val="0"/>
                                          <w:marTop w:val="0"/>
                                          <w:marBottom w:val="0"/>
                                          <w:divBdr>
                                            <w:top w:val="none" w:sz="0" w:space="0" w:color="auto"/>
                                            <w:left w:val="none" w:sz="0" w:space="0" w:color="auto"/>
                                            <w:bottom w:val="none" w:sz="0" w:space="0" w:color="auto"/>
                                            <w:right w:val="none" w:sz="0" w:space="0" w:color="auto"/>
                                          </w:divBdr>
                                          <w:divsChild>
                                            <w:div w:id="2011638737">
                                              <w:marLeft w:val="0"/>
                                              <w:marRight w:val="0"/>
                                              <w:marTop w:val="0"/>
                                              <w:marBottom w:val="0"/>
                                              <w:divBdr>
                                                <w:top w:val="none" w:sz="0" w:space="0" w:color="auto"/>
                                                <w:left w:val="none" w:sz="0" w:space="0" w:color="auto"/>
                                                <w:bottom w:val="none" w:sz="0" w:space="0" w:color="auto"/>
                                                <w:right w:val="none" w:sz="0" w:space="0" w:color="auto"/>
                                              </w:divBdr>
                                              <w:divsChild>
                                                <w:div w:id="419788806">
                                                  <w:marLeft w:val="0"/>
                                                  <w:marRight w:val="0"/>
                                                  <w:marTop w:val="0"/>
                                                  <w:marBottom w:val="0"/>
                                                  <w:divBdr>
                                                    <w:top w:val="none" w:sz="0" w:space="0" w:color="auto"/>
                                                    <w:left w:val="none" w:sz="0" w:space="0" w:color="auto"/>
                                                    <w:bottom w:val="none" w:sz="0" w:space="0" w:color="auto"/>
                                                    <w:right w:val="none" w:sz="0" w:space="0" w:color="auto"/>
                                                  </w:divBdr>
                                                  <w:divsChild>
                                                    <w:div w:id="156383690">
                                                      <w:marLeft w:val="0"/>
                                                      <w:marRight w:val="0"/>
                                                      <w:marTop w:val="0"/>
                                                      <w:marBottom w:val="0"/>
                                                      <w:divBdr>
                                                        <w:top w:val="none" w:sz="0" w:space="0" w:color="auto"/>
                                                        <w:left w:val="none" w:sz="0" w:space="0" w:color="auto"/>
                                                        <w:bottom w:val="none" w:sz="0" w:space="0" w:color="auto"/>
                                                        <w:right w:val="none" w:sz="0" w:space="0" w:color="auto"/>
                                                      </w:divBdr>
                                                    </w:div>
                                                  </w:divsChild>
                                                </w:div>
                                                <w:div w:id="1200358904">
                                                  <w:marLeft w:val="0"/>
                                                  <w:marRight w:val="0"/>
                                                  <w:marTop w:val="0"/>
                                                  <w:marBottom w:val="0"/>
                                                  <w:divBdr>
                                                    <w:top w:val="none" w:sz="0" w:space="0" w:color="auto"/>
                                                    <w:left w:val="none" w:sz="0" w:space="0" w:color="auto"/>
                                                    <w:bottom w:val="none" w:sz="0" w:space="0" w:color="auto"/>
                                                    <w:right w:val="none" w:sz="0" w:space="0" w:color="auto"/>
                                                  </w:divBdr>
                                                  <w:divsChild>
                                                    <w:div w:id="1502311187">
                                                      <w:marLeft w:val="0"/>
                                                      <w:marRight w:val="0"/>
                                                      <w:marTop w:val="0"/>
                                                      <w:marBottom w:val="0"/>
                                                      <w:divBdr>
                                                        <w:top w:val="none" w:sz="0" w:space="0" w:color="auto"/>
                                                        <w:left w:val="none" w:sz="0" w:space="0" w:color="auto"/>
                                                        <w:bottom w:val="none" w:sz="0" w:space="0" w:color="auto"/>
                                                        <w:right w:val="none" w:sz="0" w:space="0" w:color="auto"/>
                                                      </w:divBdr>
                                                      <w:divsChild>
                                                        <w:div w:id="1438066019">
                                                          <w:marLeft w:val="0"/>
                                                          <w:marRight w:val="0"/>
                                                          <w:marTop w:val="0"/>
                                                          <w:marBottom w:val="0"/>
                                                          <w:divBdr>
                                                            <w:top w:val="none" w:sz="0" w:space="0" w:color="auto"/>
                                                            <w:left w:val="none" w:sz="0" w:space="0" w:color="auto"/>
                                                            <w:bottom w:val="none" w:sz="0" w:space="0" w:color="auto"/>
                                                            <w:right w:val="none" w:sz="0" w:space="0" w:color="auto"/>
                                                          </w:divBdr>
                                                          <w:divsChild>
                                                            <w:div w:id="1989509098">
                                                              <w:marLeft w:val="0"/>
                                                              <w:marRight w:val="0"/>
                                                              <w:marTop w:val="0"/>
                                                              <w:marBottom w:val="0"/>
                                                              <w:divBdr>
                                                                <w:top w:val="none" w:sz="0" w:space="0" w:color="auto"/>
                                                                <w:left w:val="none" w:sz="0" w:space="0" w:color="auto"/>
                                                                <w:bottom w:val="none" w:sz="0" w:space="0" w:color="auto"/>
                                                                <w:right w:val="none" w:sz="0" w:space="0" w:color="auto"/>
                                                              </w:divBdr>
                                                              <w:divsChild>
                                                                <w:div w:id="1766877358">
                                                                  <w:marLeft w:val="0"/>
                                                                  <w:marRight w:val="0"/>
                                                                  <w:marTop w:val="0"/>
                                                                  <w:marBottom w:val="0"/>
                                                                  <w:divBdr>
                                                                    <w:top w:val="none" w:sz="0" w:space="0" w:color="auto"/>
                                                                    <w:left w:val="none" w:sz="0" w:space="0" w:color="auto"/>
                                                                    <w:bottom w:val="none" w:sz="0" w:space="0" w:color="auto"/>
                                                                    <w:right w:val="none" w:sz="0" w:space="0" w:color="auto"/>
                                                                  </w:divBdr>
                                                                  <w:divsChild>
                                                                    <w:div w:id="419521526">
                                                                      <w:marLeft w:val="0"/>
                                                                      <w:marRight w:val="0"/>
                                                                      <w:marTop w:val="0"/>
                                                                      <w:marBottom w:val="0"/>
                                                                      <w:divBdr>
                                                                        <w:top w:val="none" w:sz="0" w:space="0" w:color="auto"/>
                                                                        <w:left w:val="none" w:sz="0" w:space="0" w:color="auto"/>
                                                                        <w:bottom w:val="none" w:sz="0" w:space="0" w:color="auto"/>
                                                                        <w:right w:val="none" w:sz="0" w:space="0" w:color="auto"/>
                                                                      </w:divBdr>
                                                                      <w:divsChild>
                                                                        <w:div w:id="1744328387">
                                                                          <w:marLeft w:val="0"/>
                                                                          <w:marRight w:val="0"/>
                                                                          <w:marTop w:val="0"/>
                                                                          <w:marBottom w:val="0"/>
                                                                          <w:divBdr>
                                                                            <w:top w:val="none" w:sz="0" w:space="0" w:color="auto"/>
                                                                            <w:left w:val="none" w:sz="0" w:space="0" w:color="auto"/>
                                                                            <w:bottom w:val="none" w:sz="0" w:space="0" w:color="auto"/>
                                                                            <w:right w:val="none" w:sz="0" w:space="0" w:color="auto"/>
                                                                          </w:divBdr>
                                                                          <w:divsChild>
                                                                            <w:div w:id="68532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7274148">
                          <w:marLeft w:val="0"/>
                          <w:marRight w:val="0"/>
                          <w:marTop w:val="0"/>
                          <w:marBottom w:val="0"/>
                          <w:divBdr>
                            <w:top w:val="none" w:sz="0" w:space="0" w:color="auto"/>
                            <w:left w:val="none" w:sz="0" w:space="0" w:color="auto"/>
                            <w:bottom w:val="none" w:sz="0" w:space="0" w:color="auto"/>
                            <w:right w:val="none" w:sz="0" w:space="0" w:color="auto"/>
                          </w:divBdr>
                          <w:divsChild>
                            <w:div w:id="1832527223">
                              <w:marLeft w:val="0"/>
                              <w:marRight w:val="0"/>
                              <w:marTop w:val="0"/>
                              <w:marBottom w:val="0"/>
                              <w:divBdr>
                                <w:top w:val="none" w:sz="0" w:space="0" w:color="auto"/>
                                <w:left w:val="none" w:sz="0" w:space="0" w:color="auto"/>
                                <w:bottom w:val="none" w:sz="0" w:space="0" w:color="auto"/>
                                <w:right w:val="none" w:sz="0" w:space="0" w:color="auto"/>
                              </w:divBdr>
                              <w:divsChild>
                                <w:div w:id="150174935">
                                  <w:marLeft w:val="0"/>
                                  <w:marRight w:val="0"/>
                                  <w:marTop w:val="105"/>
                                  <w:marBottom w:val="0"/>
                                  <w:divBdr>
                                    <w:top w:val="none" w:sz="0" w:space="0" w:color="auto"/>
                                    <w:left w:val="none" w:sz="0" w:space="0" w:color="auto"/>
                                    <w:bottom w:val="none" w:sz="0" w:space="0" w:color="auto"/>
                                    <w:right w:val="none" w:sz="0" w:space="0" w:color="auto"/>
                                  </w:divBdr>
                                  <w:divsChild>
                                    <w:div w:id="1994722635">
                                      <w:marLeft w:val="0"/>
                                      <w:marRight w:val="0"/>
                                      <w:marTop w:val="0"/>
                                      <w:marBottom w:val="0"/>
                                      <w:divBdr>
                                        <w:top w:val="none" w:sz="0" w:space="0" w:color="auto"/>
                                        <w:left w:val="none" w:sz="0" w:space="0" w:color="auto"/>
                                        <w:bottom w:val="none" w:sz="0" w:space="0" w:color="auto"/>
                                        <w:right w:val="none" w:sz="0" w:space="0" w:color="auto"/>
                                      </w:divBdr>
                                      <w:divsChild>
                                        <w:div w:id="1768302905">
                                          <w:marLeft w:val="0"/>
                                          <w:marRight w:val="0"/>
                                          <w:marTop w:val="0"/>
                                          <w:marBottom w:val="0"/>
                                          <w:divBdr>
                                            <w:top w:val="none" w:sz="0" w:space="0" w:color="auto"/>
                                            <w:left w:val="none" w:sz="0" w:space="0" w:color="auto"/>
                                            <w:bottom w:val="none" w:sz="0" w:space="0" w:color="auto"/>
                                            <w:right w:val="none" w:sz="0" w:space="0" w:color="auto"/>
                                          </w:divBdr>
                                          <w:divsChild>
                                            <w:div w:id="430585022">
                                              <w:marLeft w:val="0"/>
                                              <w:marRight w:val="0"/>
                                              <w:marTop w:val="0"/>
                                              <w:marBottom w:val="0"/>
                                              <w:divBdr>
                                                <w:top w:val="none" w:sz="0" w:space="0" w:color="auto"/>
                                                <w:left w:val="none" w:sz="0" w:space="0" w:color="auto"/>
                                                <w:bottom w:val="none" w:sz="0" w:space="0" w:color="auto"/>
                                                <w:right w:val="none" w:sz="0" w:space="0" w:color="auto"/>
                                              </w:divBdr>
                                              <w:divsChild>
                                                <w:div w:id="1207789653">
                                                  <w:marLeft w:val="0"/>
                                                  <w:marRight w:val="0"/>
                                                  <w:marTop w:val="150"/>
                                                  <w:marBottom w:val="150"/>
                                                  <w:divBdr>
                                                    <w:top w:val="none" w:sz="0" w:space="0" w:color="auto"/>
                                                    <w:left w:val="none" w:sz="0" w:space="0" w:color="auto"/>
                                                    <w:bottom w:val="none" w:sz="0" w:space="0" w:color="auto"/>
                                                    <w:right w:val="none" w:sz="0" w:space="0" w:color="auto"/>
                                                  </w:divBdr>
                                                  <w:divsChild>
                                                    <w:div w:id="4481459">
                                                      <w:marLeft w:val="0"/>
                                                      <w:marRight w:val="0"/>
                                                      <w:marTop w:val="0"/>
                                                      <w:marBottom w:val="0"/>
                                                      <w:divBdr>
                                                        <w:top w:val="none" w:sz="0" w:space="0" w:color="auto"/>
                                                        <w:left w:val="none" w:sz="0" w:space="0" w:color="auto"/>
                                                        <w:bottom w:val="none" w:sz="0" w:space="0" w:color="auto"/>
                                                        <w:right w:val="none" w:sz="0" w:space="0" w:color="auto"/>
                                                      </w:divBdr>
                                                      <w:divsChild>
                                                        <w:div w:id="193659494">
                                                          <w:marLeft w:val="300"/>
                                                          <w:marRight w:val="0"/>
                                                          <w:marTop w:val="0"/>
                                                          <w:marBottom w:val="0"/>
                                                          <w:divBdr>
                                                            <w:top w:val="none" w:sz="0" w:space="0" w:color="auto"/>
                                                            <w:left w:val="none" w:sz="0" w:space="0" w:color="auto"/>
                                                            <w:bottom w:val="none" w:sz="0" w:space="0" w:color="auto"/>
                                                            <w:right w:val="none" w:sz="0" w:space="0" w:color="auto"/>
                                                          </w:divBdr>
                                                          <w:divsChild>
                                                            <w:div w:id="15317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3737497">
                  <w:marLeft w:val="0"/>
                  <w:marRight w:val="0"/>
                  <w:marTop w:val="60"/>
                  <w:marBottom w:val="0"/>
                  <w:divBdr>
                    <w:top w:val="none" w:sz="0" w:space="0" w:color="auto"/>
                    <w:left w:val="none" w:sz="0" w:space="0" w:color="auto"/>
                    <w:bottom w:val="none" w:sz="0" w:space="0" w:color="auto"/>
                    <w:right w:val="none" w:sz="0" w:space="0" w:color="auto"/>
                  </w:divBdr>
                  <w:divsChild>
                    <w:div w:id="597638888">
                      <w:marLeft w:val="0"/>
                      <w:marRight w:val="0"/>
                      <w:marTop w:val="0"/>
                      <w:marBottom w:val="0"/>
                      <w:divBdr>
                        <w:top w:val="none" w:sz="0" w:space="0" w:color="auto"/>
                        <w:left w:val="none" w:sz="0" w:space="0" w:color="auto"/>
                        <w:bottom w:val="none" w:sz="0" w:space="0" w:color="auto"/>
                        <w:right w:val="none" w:sz="0" w:space="0" w:color="auto"/>
                      </w:divBdr>
                      <w:divsChild>
                        <w:div w:id="547374319">
                          <w:marLeft w:val="0"/>
                          <w:marRight w:val="0"/>
                          <w:marTop w:val="0"/>
                          <w:marBottom w:val="0"/>
                          <w:divBdr>
                            <w:top w:val="none" w:sz="0" w:space="0" w:color="auto"/>
                            <w:left w:val="none" w:sz="0" w:space="0" w:color="auto"/>
                            <w:bottom w:val="none" w:sz="0" w:space="0" w:color="auto"/>
                            <w:right w:val="none" w:sz="0" w:space="0" w:color="auto"/>
                          </w:divBdr>
                          <w:divsChild>
                            <w:div w:id="209853042">
                              <w:marLeft w:val="0"/>
                              <w:marRight w:val="0"/>
                              <w:marTop w:val="0"/>
                              <w:marBottom w:val="0"/>
                              <w:divBdr>
                                <w:top w:val="none" w:sz="0" w:space="0" w:color="auto"/>
                                <w:left w:val="none" w:sz="0" w:space="0" w:color="auto"/>
                                <w:bottom w:val="none" w:sz="0" w:space="0" w:color="auto"/>
                                <w:right w:val="none" w:sz="0" w:space="0" w:color="auto"/>
                              </w:divBdr>
                              <w:divsChild>
                                <w:div w:id="895968583">
                                  <w:marLeft w:val="0"/>
                                  <w:marRight w:val="0"/>
                                  <w:marTop w:val="0"/>
                                  <w:marBottom w:val="0"/>
                                  <w:divBdr>
                                    <w:top w:val="none" w:sz="0" w:space="0" w:color="auto"/>
                                    <w:left w:val="none" w:sz="0" w:space="0" w:color="auto"/>
                                    <w:bottom w:val="none" w:sz="0" w:space="0" w:color="auto"/>
                                    <w:right w:val="none" w:sz="0" w:space="0" w:color="auto"/>
                                  </w:divBdr>
                                  <w:divsChild>
                                    <w:div w:id="736241051">
                                      <w:marLeft w:val="0"/>
                                      <w:marRight w:val="0"/>
                                      <w:marTop w:val="0"/>
                                      <w:marBottom w:val="0"/>
                                      <w:divBdr>
                                        <w:top w:val="none" w:sz="0" w:space="0" w:color="auto"/>
                                        <w:left w:val="none" w:sz="0" w:space="0" w:color="auto"/>
                                        <w:bottom w:val="none" w:sz="0" w:space="0" w:color="auto"/>
                                        <w:right w:val="none" w:sz="0" w:space="0" w:color="auto"/>
                                      </w:divBdr>
                                      <w:divsChild>
                                        <w:div w:id="2059939257">
                                          <w:marLeft w:val="0"/>
                                          <w:marRight w:val="0"/>
                                          <w:marTop w:val="0"/>
                                          <w:marBottom w:val="0"/>
                                          <w:divBdr>
                                            <w:top w:val="none" w:sz="0" w:space="0" w:color="auto"/>
                                            <w:left w:val="none" w:sz="0" w:space="0" w:color="auto"/>
                                            <w:bottom w:val="none" w:sz="0" w:space="0" w:color="auto"/>
                                            <w:right w:val="none" w:sz="0" w:space="0" w:color="auto"/>
                                          </w:divBdr>
                                          <w:divsChild>
                                            <w:div w:id="1885946144">
                                              <w:marLeft w:val="0"/>
                                              <w:marRight w:val="0"/>
                                              <w:marTop w:val="0"/>
                                              <w:marBottom w:val="0"/>
                                              <w:divBdr>
                                                <w:top w:val="none" w:sz="0" w:space="0" w:color="auto"/>
                                                <w:left w:val="none" w:sz="0" w:space="0" w:color="auto"/>
                                                <w:bottom w:val="none" w:sz="0" w:space="0" w:color="auto"/>
                                                <w:right w:val="none" w:sz="0" w:space="0" w:color="auto"/>
                                              </w:divBdr>
                                              <w:divsChild>
                                                <w:div w:id="59867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eli/dec/2005/50/oj/?locale=LV" TargetMode="External"/><Relationship Id="rId18" Type="http://schemas.openxmlformats.org/officeDocument/2006/relationships/hyperlink" Target="http://eur-lex.europa.eu/eli/dec/2006/771/oj/?locale=LV" TargetMode="External"/><Relationship Id="rId26" Type="http://schemas.openxmlformats.org/officeDocument/2006/relationships/hyperlink" Target="http://eur-lex.europa.eu/eli/dec/2011/829/oj/?locale=LV" TargetMode="External"/><Relationship Id="rId39" Type="http://schemas.openxmlformats.org/officeDocument/2006/relationships/hyperlink" Target="http://eur-lex.europa.eu/eli/dec/2013/654/oj/?locale=LV" TargetMode="External"/><Relationship Id="rId3" Type="http://schemas.openxmlformats.org/officeDocument/2006/relationships/customXml" Target="../customXml/item3.xml"/><Relationship Id="rId21" Type="http://schemas.openxmlformats.org/officeDocument/2006/relationships/hyperlink" Target="http://eur-lex.europa.eu/eli/dec/2010/166/oj/?locale=LV" TargetMode="External"/><Relationship Id="rId34" Type="http://schemas.openxmlformats.org/officeDocument/2006/relationships/hyperlink" Target="http://eur-lex.europa.eu/eli/dec/2014/276/oj/?locale=LV" TargetMode="External"/><Relationship Id="rId42" Type="http://schemas.openxmlformats.org/officeDocument/2006/relationships/hyperlink" Target="http://eur-lex.europa.eu/eli/dec/2005/50/oj/?locale=LV"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eur-lex.europa.eu/eli/dec/2004/545/oj/?locale=LV" TargetMode="External"/><Relationship Id="rId17" Type="http://schemas.openxmlformats.org/officeDocument/2006/relationships/hyperlink" Target="http://eur-lex.europa.eu/eli/dec/2008/432/oj/?locale=LV" TargetMode="External"/><Relationship Id="rId25" Type="http://schemas.openxmlformats.org/officeDocument/2006/relationships/hyperlink" Target="http://eur-lex.europa.eu/eli/dec/2005/50/oj/?locale=LV" TargetMode="External"/><Relationship Id="rId33" Type="http://schemas.openxmlformats.org/officeDocument/2006/relationships/hyperlink" Target="http://eur-lex.europa.eu/eli/dec/2005/928/oj/?locale=LV" TargetMode="External"/><Relationship Id="rId38" Type="http://schemas.openxmlformats.org/officeDocument/2006/relationships/hyperlink" Target="http://eur-lex.europa.eu/eli/dec/2008/294/oj/?locale=LV"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ur-lex.europa.eu/eli/dec/2008/411/oj/?locale=LV" TargetMode="External"/><Relationship Id="rId20" Type="http://schemas.openxmlformats.org/officeDocument/2006/relationships/hyperlink" Target="http://eur-lex.europa.eu/eli/dec/2010/267/oj/?locale=LV" TargetMode="External"/><Relationship Id="rId29" Type="http://schemas.openxmlformats.org/officeDocument/2006/relationships/hyperlink" Target="http://eur-lex.europa.eu/eli/dec/2013/654/oj/?locale=LV" TargetMode="External"/><Relationship Id="rId41" Type="http://schemas.openxmlformats.org/officeDocument/2006/relationships/hyperlink" Target="http://eur-lex.europa.eu/eli/dec/2017/1483/oj/?locale=L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ur-lex.europa.eu/eli/dec/2011/485/oj/?locale=LV" TargetMode="External"/><Relationship Id="rId32" Type="http://schemas.openxmlformats.org/officeDocument/2006/relationships/hyperlink" Target="http://eur-lex.europa.eu/eli/dec/2006/771/oj/?locale=LV" TargetMode="External"/><Relationship Id="rId37" Type="http://schemas.openxmlformats.org/officeDocument/2006/relationships/hyperlink" Target="http://eur-lex.europa.eu/eli/dec_impl/2016/339/oj/?locale=LV" TargetMode="External"/><Relationship Id="rId40" Type="http://schemas.openxmlformats.org/officeDocument/2006/relationships/hyperlink" Target="http://eur-lex.europa.eu/eli/dec/2010/166/oj/?locale=LV" TargetMode="External"/><Relationship Id="rId45" Type="http://schemas.openxmlformats.org/officeDocument/2006/relationships/hyperlink" Target="http://eur-lex.europa.eu/eli/dec/2006/771/oj/?locale=LV" TargetMode="External"/><Relationship Id="rId5" Type="http://schemas.openxmlformats.org/officeDocument/2006/relationships/customXml" Target="../customXml/item5.xml"/><Relationship Id="rId15" Type="http://schemas.openxmlformats.org/officeDocument/2006/relationships/hyperlink" Target="http://eur-lex.europa.eu/eli/dec/2008/294/oj/?locale=LV" TargetMode="External"/><Relationship Id="rId23" Type="http://schemas.openxmlformats.org/officeDocument/2006/relationships/hyperlink" Target="http://eur-lex.europa.eu/eli/dec/2006/771/oj/?locale=LV" TargetMode="External"/><Relationship Id="rId28" Type="http://schemas.openxmlformats.org/officeDocument/2006/relationships/hyperlink" Target="http://eur-lex.europa.eu/eli/dec/2012/688/oj/?locale=LV" TargetMode="External"/><Relationship Id="rId36" Type="http://schemas.openxmlformats.org/officeDocument/2006/relationships/hyperlink" Target="http://eur-lex.europa.eu/eli/dec/2014/641/oj/?locale=LV"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ur-lex.europa.eu/eli/dec/626/2008/oj/?locale=LV" TargetMode="External"/><Relationship Id="rId31" Type="http://schemas.openxmlformats.org/officeDocument/2006/relationships/hyperlink" Target="http://eur-lex.europa.eu/eli/dec/2013/752/oj/?locale=LV" TargetMode="External"/><Relationship Id="rId44" Type="http://schemas.openxmlformats.org/officeDocument/2006/relationships/hyperlink" Target="http://eur-lex.europa.eu/eli/dec/2008/411/oj/?locale=L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ur-lex.europa.eu/eli/dec/2006/771/oj/?locale=LV" TargetMode="External"/><Relationship Id="rId22" Type="http://schemas.openxmlformats.org/officeDocument/2006/relationships/hyperlink" Target="http://eur-lex.europa.eu/eli/dec/2010/368/oj/?locale=LV" TargetMode="External"/><Relationship Id="rId27" Type="http://schemas.openxmlformats.org/officeDocument/2006/relationships/hyperlink" Target="http://eur-lex.europa.eu/eli/dec/2006/771/oj/?locale=LV" TargetMode="External"/><Relationship Id="rId30" Type="http://schemas.openxmlformats.org/officeDocument/2006/relationships/hyperlink" Target="http://eur-lex.europa.eu/eli/dec/2008/294/oj/?locale=LV" TargetMode="External"/><Relationship Id="rId35" Type="http://schemas.openxmlformats.org/officeDocument/2006/relationships/hyperlink" Target="http://eur-lex.europa.eu/eli/dec/2008/411/oj/?locale=LV" TargetMode="External"/><Relationship Id="rId43" Type="http://schemas.openxmlformats.org/officeDocument/2006/relationships/hyperlink" Target="http://eur-lex.europa.eu/eli/dec/2018/1538/oj/?locale=LV" TargetMode="External"/><Relationship Id="rId48" Type="http://schemas.openxmlformats.org/officeDocument/2006/relationships/footer" Target="foot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F62256131EA082498DC868E3AF956C40" ma:contentTypeVersion="13" ma:contentTypeDescription="Izveidot jaunu dokumentu." ma:contentTypeScope="" ma:versionID="b6b35e94e386743e7ee0d2abb7c94826">
  <xsd:schema xmlns:xsd="http://www.w3.org/2001/XMLSchema" xmlns:xs="http://www.w3.org/2001/XMLSchema" xmlns:p="http://schemas.microsoft.com/office/2006/metadata/properties" xmlns:ns3="ace8e44c-fa88-44c0-8590-dfda63664a63" xmlns:ns4="122e0e09-afb4-4bf9-abab-ecc4519bc6eb" targetNamespace="http://schemas.microsoft.com/office/2006/metadata/properties" ma:root="true" ma:fieldsID="8f104d917aa921e5ab62138defb26e93" ns3:_="" ns4:_="">
    <xsd:import namespace="ace8e44c-fa88-44c0-8590-dfda63664a63"/>
    <xsd:import namespace="122e0e09-afb4-4bf9-abab-ecc4519bc6e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8e44c-fa88-44c0-8590-dfda63664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2e0e09-afb4-4bf9-abab-ecc4519bc6eb" elementFormDefault="qualified">
    <xsd:import namespace="http://schemas.microsoft.com/office/2006/documentManagement/types"/>
    <xsd:import namespace="http://schemas.microsoft.com/office/infopath/2007/PartnerControls"/>
    <xsd:element name="SharedWithUsers" ma:index="17"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Koplietots ar: detalizēti" ma:internalName="SharedWithDetails" ma:readOnly="true">
      <xsd:simpleType>
        <xsd:restriction base="dms:Note">
          <xsd:maxLength value="255"/>
        </xsd:restriction>
      </xsd:simpleType>
    </xsd:element>
    <xsd:element name="SharingHintHash" ma:index="19"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
</file>

<file path=customXml/itemProps1.xml><?xml version="1.0" encoding="utf-8"?>
<ds:datastoreItem xmlns:ds="http://schemas.openxmlformats.org/officeDocument/2006/customXml" ds:itemID="{697D38F8-BD28-44FA-B8FB-FAE0BADC6C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537952-7269-47A6-B8B4-9B096127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8e44c-fa88-44c0-8590-dfda63664a63"/>
    <ds:schemaRef ds:uri="122e0e09-afb4-4bf9-abab-ecc4519bc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0C86-8FA2-4DCB-942D-9DAA8452FF3D}">
  <ds:schemaRefs>
    <ds:schemaRef ds:uri="http://schemas.openxmlformats.org/officeDocument/2006/bibliography"/>
  </ds:schemaRefs>
</ds:datastoreItem>
</file>

<file path=customXml/itemProps4.xml><?xml version="1.0" encoding="utf-8"?>
<ds:datastoreItem xmlns:ds="http://schemas.openxmlformats.org/officeDocument/2006/customXml" ds:itemID="{569686C8-3898-49DC-9480-44CBF45BDD81}">
  <ds:schemaRefs>
    <ds:schemaRef ds:uri="http://schemas.microsoft.com/sharepoint/v3/contenttype/forms"/>
  </ds:schemaRefs>
</ds:datastoreItem>
</file>

<file path=customXml/itemProps5.xml><?xml version="1.0" encoding="utf-8"?>
<ds:datastoreItem xmlns:ds="http://schemas.openxmlformats.org/officeDocument/2006/customXml" ds:itemID="{5748DAB9-D8E5-442B-9DAF-ABA0E03979FD}"/>
</file>

<file path=docProps/app.xml><?xml version="1.0" encoding="utf-8"?>
<Properties xmlns="http://schemas.openxmlformats.org/officeDocument/2006/extended-properties" xmlns:vt="http://schemas.openxmlformats.org/officeDocument/2006/docPropsVTypes">
  <Template>Normal</Template>
  <TotalTime>2</TotalTime>
  <Pages>12</Pages>
  <Words>21824</Words>
  <Characters>12441</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Inese Lismane</cp:lastModifiedBy>
  <cp:revision>5</cp:revision>
  <dcterms:created xsi:type="dcterms:W3CDTF">2023-08-30T09:14:00Z</dcterms:created>
  <dcterms:modified xsi:type="dcterms:W3CDTF">2023-08-30T11:00:00Z</dcterms:modified>
  <cp:category>Pielikums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0x010100F62256131EA082498DC868E3AF956C40</vt:lpwstr>
  </property>
</Properties>
</file>