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524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12. septembrī (prot. Nr. 44 34.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10. janvāra noteikumos Nr. 3 "Nacionālais radiofrekvenču plāns"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52.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10. janvāra noteikumos Nr. 3 "Nacionālais radiofrekvenču plāns" (Latvijas Vēstnesis, 2023, 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 ar 3.15.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BSS </w:t>
      </w:r>
      <w:r w:rsidR="00000000" w:rsidRPr="00000000" w:rsidDel="00000000">
        <w:rPr>
          <w:i w:val="1"/>
          <w:rtl w:val="0"/>
        </w:rPr>
        <w:t xml:space="preserve">(Broadcasting-Satellite Service)</w:t>
      </w:r>
      <w:r w:rsidR="00000000" w:rsidRPr="00000000" w:rsidDel="00000000">
        <w:rPr>
          <w:rtl w:val="0"/>
        </w:rPr>
        <w:t xml:space="preserve"> – apraides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Gaisa kuģos līdz 2026. gada 1. janvārim atbilstoši šo noteikumu 3. pielikuma 13.2. apakšpunktā noteiktajām prasībām turpina novērst tādu mobilo galiekārtu mēģinājumus reģistrēties uz zemes esošajos UMTS mobilajos tīklos, kuras uztver signālu 925–960 MHz un 2 110–2 170 MHz frekvenču joslās un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Sprindžuks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23-TA-763</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23-TA-763</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noteikumu_(grozījumu)_projekts_23-TA-763.docx</dc:title>
</cp:coreProperties>
</file>

<file path=docProps/custom.xml><?xml version="1.0" encoding="utf-8"?>
<Properties xmlns="http://schemas.openxmlformats.org/officeDocument/2006/custom-properties" xmlns:vt="http://schemas.openxmlformats.org/officeDocument/2006/docPropsVTypes"/>
</file>