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52.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2.2.1. specifiskā atbalsta mērķa "Veicināt ilgtspējīgu ūdenssaimniecību" 2.2.1.1. pasākuma "Notekūdeņu un to dūņu apsaimniekošanas sistēmas attīstība piesārņojuma samazināšanai" trešās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2.2.1. specifiskā atbalsta mērķa "Veicināt ilgtspējīgu ūdenssaimniecību" 2.2.1.1. pasākuma "Notekūdeņu un to dūņu apsaimniekošanas sistēmas attīstība piesārņojuma samazināšanai" trešo projektu iesniegumu atlases kārtu (turpmāk – trešā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trešās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trešajai atlases kārtai plānoto un pieejamo kopējo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Trešās atlases kārtas mērķis ir nodrošināt sabiedrisko ūdenssaimniecības pakalpojumu efektivitāti un samazināt vidē novadīto piesārņojumu.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mērķteritorijas ir sabiedrisko ūdenssaimniecības pakalpojumu sniegšanas teritorijās esošās notekūdeņu apsaimniekošanas aglomerācijas (turpmāk – aglomerācijas) ar cilvēkekvivalentu, lielāku par 2000, bet mazāku par 10 000.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Trešās atlases kārtas ietvaros sasniedzamais nacionālais rādītājs un tā vērtība, kas sasniedzama līdz 2029. gada 31. decembrim: iedzīvotāji, kuriem uzlabota sabiedrisko ūdenssaimniecības pakalpojumu efektivitāte. Nacionālā rādītāja vērtība tiek uzskatīta par sasniegtu pēc noslēguma maksājuma veikšanas, izmantojot jaunākos projekta iesniedzējam pieejamos datus par iedzīvotāju skaitu, kuriem nodrošināti centralizētās notekūdeņu apsaimniekošanas sistēmas pakalpojumi, un demogrāfisko rādītāju izmaiņu ietekmi uz vērtības izmaiņām.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Trešo atlases kārtu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Trešās atlases kārtas ietvaros atbildīgās iestādes funkcijas pilda Viedās administrācijas un reģionālās attīstības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Atlases kārtai pieejamais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Trešās atlases kārtas ietvaros plānotais un pieejamais kopējais attiecināmais finansējums ir ne mazāks kā 33 005 565 </w:t>
      </w:r>
      <w:r w:rsidR="00000000" w:rsidRPr="00000000" w:rsidDel="00000000">
        <w:rPr>
          <w:i w:val="1"/>
          <w:rtl w:val="0"/>
        </w:rPr>
        <w:t xml:space="preserve">euro</w:t>
      </w:r>
      <w:r w:rsidR="00000000" w:rsidRPr="00000000" w:rsidDel="00000000">
        <w:rPr>
          <w:rtl w:val="0"/>
        </w:rPr>
        <w:t xml:space="preserve">, tai skaitā Eiropas Reģionālās attīstības fonda finansējums – 21 453 617 </w:t>
      </w:r>
      <w:r w:rsidR="00000000" w:rsidRPr="00000000" w:rsidDel="00000000">
        <w:rPr>
          <w:i w:val="1"/>
          <w:rtl w:val="0"/>
        </w:rPr>
        <w:t xml:space="preserve">euro</w:t>
      </w:r>
      <w:r w:rsidR="00000000" w:rsidRPr="00000000" w:rsidDel="00000000">
        <w:rPr>
          <w:rtl w:val="0"/>
        </w:rPr>
        <w:t xml:space="preserve"> un nacionālais līdzfinansējums, ko veido privātais vai pašvaldības līdzfinansējums, – ne mazāks kā 11 551 948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Trešās atlases kārtas ietvaros Eiropas Reģionālās attīstības fonda finansējuma atbalsta intensitāte nepārsniedz 65 procentus no kopējām attiecināmajām izmaksām, un nacionālā līdzfinansējuma apmērs, ko veido privātais vai pašvaldības finansējums, ir vismaz 35 procenti no projekta kopējā attiecināmā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Trešajā atlases kārtā atbalsts tiek sniegts granta veidā.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Trešajā atlases kārtā viena projekta iesnieguma maksimālais Eiropas Reģionālās attīstības fonda finansējums ir 1 500 000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Trešās atlases kārtas ietvaros finansējuma saņēmējs, kurš sniedz sabiedriskos ūdenssaimniecības pakalpojumus vairākās aglomerācijās, var iesniegt ne vairāk kā trīs projekta iesniegumus (par vienu aglomerāciju var iesniegt vienu projekta iesniegumu), katra iesniegtā projekta īstenošanas attiecināmajām izmaksām nepārsniedzot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Eiropas Reģionālās attīstības fonda finansējumu.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Trešās atlases kārtas ietvaros projekta iesniedzējs, kas pēc projekta iesnieguma apstiprināšanas kļūst par finansējuma saņēmēju, ir sabiedrisko ūdenssaimniecības pakalpojumu sniedzējs – pašvaldība vai tās izveidota iestāde (tai skaitā aģentūra), vai kapitālsabiedrība, kurai ar pašvaldību ir noslēgts pakalpojuma līgums par sabiedrisko ūdenssaimniecības pakalpojumu sniegšanu (turpmāk – pakalpojuma līgums).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Trešās atlases kārtas ietvaros netiek atbalstīti projekti tajās aglomerācijās, kurām atbalsts varēja tikt piešķirts 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Pakalpojuma līgumā norāda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ūdenssaimniecības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sabiedrisko ūdenssaimniecības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ūdenssaimniecības pakalpojumu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ūdenssaimniecības pakalpojumu sniedzējam piešķirto ekskluzīvo vai īpašo tiesību būtību, tai skaitā norādot atbilstošo pašvaldības administratīvo teritoriju vai pašvaldības administratīvās teritorijas daļu un konkrētos sniedzamos sabiedriskos ūdenssaimniecības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pakalpojumu sniegšanas infrastruktūrā –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2012/21/ES).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sabiedriskos ūdenssaimniecības pakalpojumus sniedz finansējuma saņēmējs, kas ir pašvaldība vai tās iestāde, ir pieņemts pārvaldes lēmums par sabiedrisko ūdenssaimniecības pakalpojumu sniegšanu. Pārvaldes lēmumā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ūdenssaimniecības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ūdenssaimniecības pakalpojumu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maksu par sabiedriskajiem ūdenssaimniecības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ūdenssaimniecības pakalpojumu sniegšanas periodu, kas nav īsāks par pieciem gadiem un nepārsniedz 10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atsauci uz Eiropas Komisijas lēmumu Nr. 2012/21/ES.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sabiedriskos ūdenssaimniecības pakalpojumus sniedz finansējuma saņēmējs, kas ir pašvaldības aģentūra, ir izdoti pašvaldības saistošie noteikumi par sabiedrisko ūdenssaimniecības pakalpojumu sniegšanu. Saistošajos noteikumos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aģentūras uzdevumus sabiedrisko ūdenssaimniecības pakalpojumu sniegšanā, tai skaitā sniedzamo sabiedrisko ūdenssaimniecības pakalpojumu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ūdenssaimniecības pakalpojumu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maksu par sabiedriskajiem ūdenssaimniecības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sabiedrisko ūdenssaimniecības pakalpojumu sniedzējam uzturēt un atjaunot nepieciešamo tehnisko aprīkojumu, lai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minētos pakalpojumus varētu sniegt atbilstoši katram pakalpojumu veidam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ūdenssaimniecības pakalpojumu sniegšanas periodu, kas nav īsāks par pieciem gadiem un nepārsniedz 10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sabiedrisko ūdenssaimniecības pakalpojumu sniedzējam piešķirto ekskluzīvo vai īpašo tiesību būtību, tai skaitā norādot atbilstošo pašvaldības administratīvo teritoriju vai pašvaldības administratīvās teritorijas daļu un konkrētos sniedzamos sabiedriskos ūdenssaimniecības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iespējas saņemt atlīdzības (kompensācijas) maksājumus – investīcijas sabiedrisko ūdenssaimniecības pakalpojumu sniegšanas infrastruktūrā –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atsauci uz Eiropas Komisijas lēmumu Nr. 2012/21/ES.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Komercdarbības atbalstu sabiedrisko ūdenssaimniecības pakalpojumu sniedzējiem piešķir kā kompensāciju par sabiedriskajiem pakalpojumiem dažiem uzņēmumiem, kuriem uzticēts sniegt pakalpojumus ar vispārēju tautsaimniecisku nozīmi.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 sabiedrisko ūdenssaimniecības pakalpojumu sniedzējs – nevar būt tāds saimnieciskās darbības veicējs, attiecībā uz kuru uzņēmumu grupas līmenī konstatējama vismaz viena no Komisijas 2014. gada 17. jūnija Regulas Nr. 651/2014, ar ko noteiktas atbalsta kategorijas atzīst par saderīgām ar iekšējo tirgu, piemērojot Līguma 107. un 108. pantu, 2. panta 18. punktā minētajām pazīmēm. Grūtībās nonākuša uzņēmuma pazīmes vērtē projekta iesniedzējam individuāli un tā saistīto personu grupai.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Komercdarbības atbalsta saņēmējs un vispārējas tautsaimnieciskas nozīmes pakalpojuma pilnvarojuma uzlicējs nodrošina, ka pilnvarojuma periodā un vismaz 10 gadus pēc pilnvarojuma perioda beigām tiek saglabāta un nodrošināta pieejamība projekta izmaksas pamatojošajiem dokumentiem, visai ar projektu saistītajai dokumentācijai un visai nepieciešamajai informācijai, lai noteiktu, vai piešķirtais atbalsts ir atbilstošs komercdarbības atbalsta piešķiršanas nosacījumiem vispārējas tautsaimnieciskas nozīmes pakalpojumu 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iesniedz sadarbības iestādē vispārējas tautsaimnieciskas nozīmes pakalpojuma pilnvarojuma uzlicēja apliecinājumu par šo noteikumu </w:t>
      </w:r>
      <w:r w:rsidR="00000000" w:rsidRPr="00000000" w:rsidDel="00000000">
        <w:rPr>
          <w:rtl w:val="0"/>
        </w:rPr>
        <w:t xml:space="preserve">14.6. </w:t>
      </w:r>
      <w:r w:rsidR="00000000" w:rsidRPr="00000000" w:rsidDel="00000000">
        <w:rPr>
          <w:rtl w:val="0"/>
        </w:rPr>
        <w:t xml:space="preserve">apakšpunktā</w:t>
      </w:r>
      <w:r w:rsidR="00000000" w:rsidRPr="00000000" w:rsidDel="00000000">
        <w:rPr>
          <w:rtl w:val="0"/>
        </w:rPr>
        <w:t xml:space="preserve">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tiek pārkāptas šajos noteikumos minētās komercdarbības atbalsta piešķiršanas prasības vispārējas tautsaimnieciskas nozīmes pakalpojuma sniegšanai, atbalsta saņēmējam ir pienākums atmaksāt sadarbības iestādei visu projekta ietvaros saņemto nelikumīgo komercdarbības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iesniedzējam ir īpašuma tiesības uz nekustamo īpašumu, tai skaitā zemi un infrastruktūru, kurā tiks veiktas projektā paredzētās darbības, uz termiņu, kas nav mazāks par 30 gadiem no projekta iesnieguma iesniegšanas dienas sadarbības iestādē (īpašuma tiesības nostiprinātas zemesgrāmatā līdz pirmā maksājuma pieprasījuma iesniegšanai sadarbības iestādē). Ja projektā paredzētas šo noteikumu </w:t>
      </w:r>
      <w:r w:rsidR="00000000" w:rsidRPr="00000000" w:rsidDel="00000000">
        <w:rPr>
          <w:rtl w:val="0"/>
        </w:rPr>
        <w:t xml:space="preserve">27.1.</w:t>
      </w:r>
      <w:r w:rsidR="00000000" w:rsidRPr="00000000" w:rsidDel="00000000">
        <w:rPr>
          <w:rtl w:val="0"/>
        </w:rPr>
        <w:t xml:space="preserve"> un </w:t>
      </w:r>
      <w:r w:rsidR="00000000" w:rsidRPr="00000000" w:rsidDel="00000000">
        <w:rPr>
          <w:rtl w:val="0"/>
        </w:rPr>
        <w:t xml:space="preserve">27.2. </w:t>
      </w:r>
      <w:r w:rsidR="00000000" w:rsidRPr="00000000" w:rsidDel="00000000">
        <w:rPr>
          <w:rtl w:val="0"/>
        </w:rPr>
        <w:t xml:space="preserve">apakšpunktā</w:t>
      </w:r>
      <w:r w:rsidR="00000000" w:rsidRPr="00000000" w:rsidDel="00000000">
        <w:rPr>
          <w:rtl w:val="0"/>
        </w:rPr>
        <w:t xml:space="preserve"> minētās darbības, projektā iesaistītajam cita īpašnieka zemesgabalam ir noteikts apgrūtinājums.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 tai skaitā apliecina projekta iesniedzēja interešu konflikta neesību.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ievēro, ka projekta dzīves cikls ir 30 gadi.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iesniedzējs ievēro horizontālos principus "Vienlīdzība, iekļaušana, nediskriminācija un pamattiesību ievērošana", "Nenodarīt būtisku kaitējumu", "Energoefektivitāte pirmajā vietā", "Klimatdrošināšana" un Eiropas Savienības un Latvijas Republikas normatīvos aktus vides aizsardzības jomā,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apliecinājumu, ka būvdarbu veicējiem vai pakalpojumu sniedzējiem projekta iesniedzējs noteiks pienākumu,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70 procenti (pēc masas) no būvgružiem un ēku nojaukšanas atkritumiem, kas nav bīstami un būvlaukumā radušies būvniecības laikā (izņemot dabiskos materiālus), tiks sagatavoti atkārtotai izmantošanai, pārstrādei un citu materiālu reģenerācijai (tostarp aizbēršanas darbībām, kurās atkritumus izmanto citu materiālu aizstāšanai)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būvniecības procesa laikā tiks ievērotas prasības par koku ciršanas aizliegumu putnu ligzdošanas periodā un nodrošināta esošo koku veselības stāvokļa aizsardzība, tai skaitā nekaitējot koku saknēm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paredz enerģijas ietaupījumu vai pasākumus, kas kopumā vai daļēji ir aizstājami ar izmaksefektīviem, tehniski, ekonomiski un videi nekaitīgiem alternatīviem pasākumiem un vienlīdz efektīvi nodrošina attiecīgo mērķu sasniegšanu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veic siltumnīcefekta gāzu emisiju ietaupījuma aprēķinu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projektā paredz darbības, kas veicina horizontālā principa "Vienlīdzība, iekļaušana, nediskriminācija un pamattiesību ievērošana"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Atbalstāmās darbības plāno saskaņā ar Notekūdeņu apsaimniekošanas investīciju plānu 2021.–2027. gadam vai aglomerācijai atbilstošo Upju baseinu apgabalu apsaimniekošanas un plūdu riska pārvaldības plānu 2021.–2027. gadam, ietverot investīcijas notekūdeņu attīrīšanas kvalitātes uzlabošanai vai notekūdeņu dūņu apsaimniekošanai.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iesniegumā iekļauj šādas atbalstāmās darbības, kas ietver investīcijas infrastruktūras izveidei, pārbūvei vai atjaunošanai, kā arī tās funkcionalitātes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centralizētās kanalizācijas sistēmas tīklu izbūve, pārbūve un atjaunošana;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spiedvadu un attīrīto notekūdeņu izvadu izbūve, pārbūve un atjaunošana;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kanalizācijas sūkņu staciju izbūve, pārbūve un atjaunošana;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notekūdeņu attīrīšanas iekārtu jaudas palielināšana, attīrīšanas un iekārtu darbības efektivitātes uzlabošana;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jaunu notekūdeņu attīrīšanas iekārtu izbūve, ja tas ir tehniski un ekonomiski pamatots;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notekūdeņu dūņu atūdeņošanas un apstrādes iekārtu izbūve, pārbūve un atjaunošana;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darbības horizontālo principu "Nenodarīt būtisku kaitējumu", "Energoefektivitāte pirmajā vietā", "Klimatdrošināšana" un "Vienlīdzība, iekļaušana, nediskriminācija un pamattiesību ievērošana"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Trešās atlases kārtas ietvaros netiek atbalstīta: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iegāde;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atkritumu apglabāšanas, pārstrādes un sadedzināšanas infrastruktūras attīstīšana;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notekūdeņu dūņu pārstrādes infrastruktūras attīstīšana;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piesārņoto vietu remediācija un sanācijas darbu veikšana;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enerģiju ražojošu iekārtu uzstādīšana, nomaiņa vai atjaunošana;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ieguldījumu veikšana dzeramā ūdens ražošanas un piegādes infrastruktūrā.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attiecināmās izmaksas trešās atlases kārtas ietvaros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un projekta īstenošanas dokumentācijas izstrāde, kopā nepārsniedzot 10 procentus no projekta kopējām attiecināmajām izmaksām: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analīzes sagatavošanas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ietekmes uz vidi novērtējuma vai sākotnējā izvērtējuma sagatavošanas izmaksas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siltumnīcefekta gāzu emisiju ietaupījuma aprēķina sagatavošanas izmaksas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tehniski ekonomiskā pamatojuma sagatavošanas izmaksas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darbību īstenošanai nepieciešamo tehnisko specifikāciju, tehnisko projektu vai būvprojektu sagatavošanas (tai skaitā ar būvniecības ieceri un būvprojektu minimālā sastāvā saistīto sagatavošanas darbu)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tehnoloģisko iekārtu demontāžas izmaksas, ēku un būvju nojaukšanas izmaksas, ja tās tiešā veidā saistītas ar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darbību īstenošanu, nepārsniedzot 10 procentus no šo noteikumu </w:t>
      </w:r>
      <w:r w:rsidR="00000000" w:rsidRPr="00000000" w:rsidDel="00000000">
        <w:rPr>
          <w:rtl w:val="0"/>
        </w:rPr>
        <w:t xml:space="preserve">29.3. </w:t>
      </w:r>
      <w:r w:rsidR="00000000" w:rsidRPr="00000000" w:rsidDel="00000000">
        <w:rPr>
          <w:rtl w:val="0"/>
        </w:rPr>
        <w:t xml:space="preserve">apakšpunktā</w:t>
      </w:r>
      <w:r w:rsidR="00000000" w:rsidRPr="00000000" w:rsidDel="00000000">
        <w:rPr>
          <w:rtl w:val="0"/>
        </w:rPr>
        <w:t xml:space="preserve"> minētajām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iekārtu, mehānismu un inženiertehnisko risinājumu, kā arī tiem nepieciešamo ražošanas telpu vai to kombinācijas izmaksas, tai skaitā saistīto būvdarbu, piegādes un pakalpojumu līgumu izmaksas, ievērojot, ka šo noteikumu </w:t>
      </w:r>
      <w:r w:rsidR="00000000" w:rsidRPr="00000000" w:rsidDel="00000000">
        <w:rPr>
          <w:rtl w:val="0"/>
        </w:rPr>
        <w:t xml:space="preserve">27.1. </w:t>
      </w:r>
      <w:r w:rsidR="00000000" w:rsidRPr="00000000" w:rsidDel="00000000">
        <w:rPr>
          <w:rtl w:val="0"/>
        </w:rPr>
        <w:t xml:space="preserve">apakšpunktā</w:t>
      </w:r>
      <w:r w:rsidR="00000000" w:rsidRPr="00000000" w:rsidDel="00000000">
        <w:rPr>
          <w:rtl w:val="0"/>
        </w:rPr>
        <w:t xml:space="preserve"> minētajām darbībām paredzētās izmaksas nepārsniedz 40 procentus no projektā paredzētajām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pasākumu izmaksas. Minētās izmaksas nepārsniedz vienu procentu no projekta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neparedzētie izdevumi, nepārsniedzot piecus procentus no projekta kopējām tiešajām attiecināmajām izmaksām, kuru izlietošanu finansējuma saņēmējs saskaņo ar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rezerves izmaksas ne vairāk kā 10 procentu apmērā no attiecināmo būvniecības izmaksu kopsummas, ja projektā paredzētas būvniecības darbības un attiecināmajās izmaksās nav iekļauti šo noteikumu </w:t>
      </w:r>
      <w:r w:rsidR="00000000" w:rsidRPr="00000000" w:rsidDel="00000000">
        <w:rPr>
          <w:rtl w:val="0"/>
        </w:rPr>
        <w:t xml:space="preserve">29.6. </w:t>
      </w:r>
      <w:r w:rsidR="00000000" w:rsidRPr="00000000" w:rsidDel="00000000">
        <w:rPr>
          <w:rtl w:val="0"/>
        </w:rPr>
        <w:t xml:space="preserve">apakšpunktā</w:t>
      </w:r>
      <w:r w:rsidR="00000000" w:rsidRPr="00000000" w:rsidDel="00000000">
        <w:rPr>
          <w:rtl w:val="0"/>
        </w:rPr>
        <w:t xml:space="preserve"> minētie neparedzētie izdevumi. Rezerves izmaksu izlietošanu finansējuma saņēmējs saskaņo ar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pievienotās vērtības nodokļa izmaksas, kas tiešā veidā saistītas ar projektu,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tās nav atgūstamas nodokļu politiku reglamentējošos normatīvajos aktos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Trešās atlases kārtas ietvaros izmaksas ir attiecināmas, ja tās: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tieši saistītas ar projekta ietvaros veiktajām darbībām, ir samērīgas, pamatotas un atbilst normatīvo aktu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veiktas par aktīviem, kas ir jauni un iegādāti no trešajām personām par tirgus vērtību un kurus izmanto tikai finansējuma saņēmēja vajadzībām;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nav radušās uz darba līguma pamata;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radušās pēc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minētā termiņa.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Trešās atlases kārtas ietvaros plāno tikai 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Izmaksas ir attiecināmas no 2025. gada 1. janvāra. Ja projekts ir pabeigts pirms projekta iesnieguma iesniegšanas sadarbības iestādē, projekta iesniegums tiek noraidīts.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Ārpus projekta drīkst paredzēt izmaksas, kas tiešā veidā nodrošina projekta mērķa sasniegšanu, vienlaikus ievērojot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minētās prasības.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Atlases kārtas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projektu īsteno saskaņā ar noslēgto civiltiesisko līgumu vai vienošanos par projekta īstenošanu, bet ne ilgāk kā līdz 2029.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rādītāja vērtību un sniedz šo informāciju sadarbības iestādei, iesniedzot noslēguma maksājuma pieprasījumu;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horizontālos principus: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 (tai skaitā veic ietekmes uz vidi novērtējumu vai sākotnējo izvērtējumu,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saviem līdzekļiem sedz projekta īstenošanas gaitā radušos sadārdzinājumu un citas papildu izmaksas, nodrošinot piemērojamo komercdarbības atbalsta regulējuma normu ievērošanu;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dubultā finansējuma neiestāšanos, tostarp nodrošinot, ka projektā plānotās attiecināmās izmaksas netiek finansētas vai līdzfinansētas, kā arī tās nav plānots finansēt vai līdzfinansēt no citiem valsts vai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Nr.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retāk kā reizi sešos mēnešos ievieto savā tīmekļvietnē aktuālo informāciju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ir saņemtas visas vides aizsardzības vai būvniecības jomu reglamentējošos normatīvajos aktos noteiktās atļaujas, kas nepieciešamas, lai īstenotu projektā plānotos tehnoloģiskos risinājumus un veiktu būvniecību vai iekārtu uzstādīšanu. Attiecībā uz atbilstošu piesārņojošās darbības atļauju nodrošina, ka tā (vai atbilstoši grozījumi tajā, ja attiecināms) tiek saņemta vismaz līdz noslēguma maksājuma pieprasījumam;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projektā ieguldītās investīcijas un radītos pamatlīdzekļus vismaz piecus gadus pēc noslēguma maksājuma veikšanas izmanto projektā paredzētajam mērķim;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ieguldīto investīciju ilgtspēju un uzturēšanu darba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ietvaros, veicot iepirkumus, ievēro, ka iepirkumu procedūras tiek veiktas saskaņā ar normatīvo aktu prasībām iepirkumu jomā, īstenojot atklātu, pārredzamu, nediskriminējošu un konkurenci nodrošinošu iepirkuma procedūru, un (ja attiecināms) nodrošina vides prasību integrāciju preču, pakalpojumu un būvdarbu iepirkumos (zaļais publiskais iepirkums), kā arī izvērtē sociāli atbildīga un inovatīva publiskā iepirkuma nosacījumu piemērošanu.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projekta mērķa sasniegšanai tiek īstenotas darbības ārpus projekta vai cita projekta ietvaros, nodrošina, ka visas darbības ir pabeigtas un infrastruktūras objekti ir funkcionējoši līdz noslēguma maksājuma pieprasījuma iesniegšanas dienai sadarbības iestādē.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Sadarbības iestāde, ja tai ir pieejami valsts budžeta līdzekļi, izvērtējot plānotā avansa apmēru un tā pamatojumu un pamatojoties uz finansējuma saņēmēja rakstisku avansa pieprasījumu, var piešķirt finansējuma saņēmējam avansu pēc tam, kad noslēgts civiltiesiskais līgums vai vienošanās par projekta īstenošanu. Finansējuma saņēmējs avansa pieprasījumu sagatavo un sadarbības iestāde to apstiprina, ņemot vērā nosacījumu, ka plānotā avansa apmērs atbilst spējai to izlietot sešu mēnešu laikā vai sešu mēnešu laikā saimnieciskā gada ietvaros, ja finansējuma saņēmējs ir pašvaldība, pašvaldības iestāde vai aģentūra.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Komercdarbības atbalstu, kas piešķirts šo noteikumu ietvaros, drīkst kumulēt ar citu komercdarbības atbalstu, kas sniegts kā kompensācija par sabiedriskajiem pakalpojumiem dažiem uzņēmumiem, kuriem uzticēts sniegt pakalpojumus ar vispārēju tautsaimniecisku nozīmi, citas atbalsta programmas vai individuālā atbalsta projekta ietvaros par vienām un tām pašām attiecināmajām izmaksām, ja pēc atbalstu apvienošanas atbalsta vienībai vai izmaksu pozīcijai attiecīgā maksimālā atbalsta intensitāte nepārsniedz 100 procentus.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25-TA-497</w:t>
    </w:r>
    <w:r>
      <w:br/>
    </w:r>
    <w:r w:rsidR="00000000" w:rsidRPr="00000000" w:rsidDel="00000000">
      <w:rPr>
        <w:rtl w:val="0"/>
      </w:rPr>
      <w:t xml:space="preserve">Izdrukāts 29.07.2026. 23.14 - 1.0.VK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25-TA-497</w:t>
    </w:r>
    <w:r>
      <w:br/>
    </w:r>
    <w:r w:rsidR="00000000" w:rsidRPr="00000000" w:rsidDel="00000000">
      <w:rPr>
        <w:rtl w:val="0"/>
      </w:rPr>
      <w:t xml:space="preserve">Izdrukāts 29.07.2026. 23.14 - 1.0.VK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noteikumu_projekts_25-TA-497.docx</dc:title>
</cp:coreProperties>
</file>

<file path=docProps/custom.xml><?xml version="1.0" encoding="utf-8"?>
<Properties xmlns="http://schemas.openxmlformats.org/officeDocument/2006/custom-properties" xmlns:vt="http://schemas.openxmlformats.org/officeDocument/2006/docPropsVTypes"/>
</file>