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[23-TA-1059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[23-TA-1059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36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80"/>
        <w:gridCol w:w="5092"/>
        <w:gridCol w:w="5906"/>
        <w:tblGridChange w:id="0">
          <w:tblGrid>
            <w:gridCol w:w="2380"/>
            <w:gridCol w:w="5092"/>
            <w:gridCol w:w="5906"/>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un koncertmeistars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50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4"/>
        <w:gridCol w:w="7111"/>
        <w:gridCol w:w="6214"/>
        <w:tblGridChange w:id="0">
          <w:tblGrid>
            <w:gridCol w:w="1284"/>
            <w:gridCol w:w="7111"/>
            <w:gridCol w:w="6214"/>
          </w:tblGrid>
        </w:tblGridChange>
      </w:tblGrid>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Interešu izglītības iestādēs izglītojamo skaitam piemēro koeficientu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izglītības iestādēs kopējā izglītojamo skaitā iekļauj piecgadīgos un sešgadīgos izglītojamos, bet speciālajās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To izglītības iestāžu vadītāju amata algu, kuras īsteno vispārējās un profesionālās izglītības programmas ieslodzījuma vietās, nosaka par vienu pakāpi augstāku.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noteikumu_(grozījumu)_projekts_p1_23-TA-1059.docx</dc:title>
</cp:coreProperties>
</file>

<file path=docProps/custom.xml><?xml version="1.0" encoding="utf-8"?>
<Properties xmlns="http://schemas.openxmlformats.org/officeDocument/2006/custom-properties" xmlns:vt="http://schemas.openxmlformats.org/officeDocument/2006/docPropsVTypes"/>
</file>