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[23-TA-1059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[23-TA-1059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darba slodze un 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3101"/>
        <w:gridCol w:w="3101"/>
        <w:gridCol w:w="1281"/>
        <w:gridCol w:w="1281"/>
        <w:tblGridChange w:id="0">
          <w:tblGrid>
            <w:gridCol w:w="514"/>
            <w:gridCol w:w="4443"/>
            <w:gridCol w:w="3101"/>
            <w:gridCol w:w="3101"/>
            <w:gridCol w:w="128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nedēļā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gadā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astronomiskajās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stundu/nodarbību vadīšanai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skolotājs, 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mūzikā, mākslā un dejā pedagogs, koncertmeistars (izņemot Kultūras ministrijas padotības profesionālās izglītības 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sporta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baleta mākslinieks profesionālās vidējās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 sociālais pedagogs, skolotājs logopēds, speciālais pedagogs, pedagoga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70 %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metodiķis, pirmsskolas izglītības metodiķis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organizators izglītības iestādē, surdopedagogs speciālās izglītības iestādes dzirdes kabinetā, tiflopedagogs speciālās izglītības iestādes redzes kabinetā, arodmācības (amatmācības) skolotājs, internāta skolotājs vispārējās un speciālās izglītības iestādē, skolotājs izglītības iestādes dienesta viesnīcā, izglītības iestādes bibliotekārs, skolotājs mentors, izglītības iestādes muzeju pedagogs, pedagogs karjeras konsultants, pagarinātās dienas grupas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izglītības iestādes vadītāja vietnieks, struktūrvienības vadītājs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3.tabulu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un koncertmeistars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saskaņā ar 1.pielikuma 1.tabulu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 asociētais profesors, docents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1.tabulu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2.tabulu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1.pielikuma 2.tabulu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vadītājs un pedagogs var vienoties par citu darba slodzes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Izglītības iestādes vadītājam un pedagogam vienojoties, darba slodzi nedēļā mācību stundu/nodarbību vadīšanai var palielināt, bet ne vairāk kā par divām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Atbilstoši amata aprakstam.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iekļauti visi darba pienākumi"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noteikumu_(grozījumu)_projekts_p2_23-TA-1059.docx</dc:title>
</cp:coreProperties>
</file>

<file path=docProps/custom.xml><?xml version="1.0" encoding="utf-8"?>
<Properties xmlns="http://schemas.openxmlformats.org/officeDocument/2006/custom-properties" xmlns:vt="http://schemas.openxmlformats.org/officeDocument/2006/docPropsVTypes"/>
</file>