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"Kārtība, kādā tiek īstenota starpinstitucionālās sadarbības programma “Bērna māja”"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līdz 2025. gada 1. septembrim sagatavot un iesniegt izskatīšanai Ministru kabinetā grozījumus Bērnu tiesību aizsardzības likuma 52.</w:t>
      </w:r>
      <w:r w:rsidR="00000000" w:rsidRPr="00000000" w:rsidDel="00000000">
        <w:rPr>
          <w:vertAlign w:val="superscript"/>
          <w:rtl w:val="0"/>
        </w:rPr>
        <w:t xml:space="preserve">1</w:t>
      </w:r>
      <w:r w:rsidR="00000000" w:rsidRPr="00000000" w:rsidDel="00000000">
        <w:rPr>
          <w:rtl w:val="0"/>
        </w:rPr>
        <w:t xml:space="preserve"> pantā, nosakot programmas "Bērna māja" ietvaros paredzēto personas datu apstrādi ar tehniskiem līdzekļiem un norādot, kā tiks veikta personu datu apstrāde ar tehniskajiem līdzekļiem, nolūku šādai datu apstrādei un subjektus, kuriem balss un attēla ierakstus var nodot un kādā nolūkā.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Noteikumu projektā ietverto pasākumu īstenošanai 2024.-2025.gadā nepieciešamās 9,3 amata vietas un sākot ar 2026.gadu 12,3 amata vietas tiks nodrošinātas labklājības nozares ietvaros, veicot ilgstoši vakanto amata vietu pārdali no pamatbudžeta apakšprogrammas 05.03.00 “Aprūpe valsts sociālās aprūpes institūcijās” uz pamatbudžeta apakšprogrammu 22.01.00 “Bērnu aizsardzības centra darbības nodrošināšana”, kopumā neveidojot jaunas amata vietas valsts pārvaldē.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23-TA-626</w:t>
    </w:r>
    <w:r>
      <w:br/>
    </w:r>
    <w:r w:rsidR="00000000" w:rsidRPr="00000000" w:rsidDel="00000000">
      <w:rPr>
        <w:rtl w:val="0"/>
      </w:rPr>
      <w:t xml:space="preserve">Izdrukāts 29.07.2026. 22.14 - 4.0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mk_sēdes_protokollēmuma_projekts_23-TA-626.docx</dc:title>
</cp:coreProperties>
</file>

<file path=docProps/custom.xml><?xml version="1.0" encoding="utf-8"?>
<Properties xmlns="http://schemas.openxmlformats.org/officeDocument/2006/custom-properties" xmlns:vt="http://schemas.openxmlformats.org/officeDocument/2006/docPropsVTypes"/>
</file>