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projekts, piedaloties Eiropas Savienības Vispārējās tiesas sēdē lietā T-125/22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RT France pret Padomi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piedaloties Eiropas Savienības Vispārējās tiesas sēdē lietā T-125/22 </w:t>
      </w:r>
      <w:r w:rsidR="00000000" w:rsidRPr="00000000" w:rsidDel="00000000">
        <w:rPr>
          <w:i w:val="1"/>
          <w:rtl w:val="0"/>
        </w:rPr>
        <w:t xml:space="preserve">RT France pret Padomi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ministrijai, Kultūras ministrijai un Nacionālajai elektronisko plašsaziņas līdzekļu padomei sniegt nepieciešamo atbalstu Tieslietu ministrijai Latvijas Republikas pārstāvības nodrošināšanai Eiropas Savienības Vispārējās tiesas sēdē lietā T-125/22 </w:t>
      </w:r>
      <w:r w:rsidR="00000000" w:rsidRPr="00000000" w:rsidDel="00000000">
        <w:rPr>
          <w:i w:val="1"/>
          <w:rtl w:val="0"/>
        </w:rPr>
        <w:t xml:space="preserve">RT France pret Padomi.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22-TA-1796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