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janvārī (prot. Nr. 3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6.1.1.6. pasākuma "Bezemisiju transportlīdzekļu izmantošanas veicināšana pašvaldībās" īstenošanas noteikumi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(turpmāk – specifiskais atbalsta mērķis) 6.1.1.6. pasākumu "Bezemisiju transportlīdzekļu izmantošanas veicināšana pašvaldībās"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kopējo Taisnīgas pārkārtošanās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Taisnīgas pārkārtošanās fonda finansējumu pasākuma ietvaros piešķir granta veidā.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Kurzemes, Latgales, Vidzemes un Zemgales statistiskais reģions saskaņā ar 2022. gada 25. novembrī spēkā esošo Statistiski teritoriālo vienību nomenklatūras 3. līmeņa (NUTS 3. līmenis) klasifikāciju.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Taisnīgas pārkārtošanās fonda finansējums tiek piešķirts, lai saskaņā ar normatīvajiem aktiem pašvaldību darbības jomā īstenotu pašvaldības autonomās funkcijas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 un nodrošinātu no šīm autonomajām funkcijām izrietošo pārvaldes uzdevumu izpildi. Pasākuma ietvaros atbalsts netiek sniegts saimnieciskajai darbībai.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pieļaujams, ka projekta ietvaros iegādāto bezemisiju transportlīdzekli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autonomo funkciju īstenošanai un tā darbības nodrošināšanai paredzēto uzlādes infrastruktūru (ja attiecināms) vismaz 80 procentu apjomā no to gada jaudas laika izteiksmē izmanto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pašvaldības autonomo funkciju nodrošināšanai un no šīm autonomajām funkcijām izrietošo pārvaldes uzdevumu izpildei un līdz 20 procentiem no gada jaudas laika izteiksmē – papildinošās saimnieciskās darbības īstenošanai. Finansējuma saņēmējs projekta iesniegumam pievieno apliecinājumu par projekta ietvaros iegādāto bezemisiju transportlīdzekļa un tā darbības nodrošināšanai paredzēto uzlādes infrastruktūras (ja attiecināms) izmantošanas nosacījumu ievērošanu atbilstoši šā punkta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izpratnē par papildinošo saimniecisko darbību uzskata mobilitātes nodrošināšanu pasākumos, kas ir tieši saistīti un nepieciešami vai nesaraujami saistīti 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pašvaldību autonomo funkciju īstenošanu un no tām izrietošo pārvaldes uzdevumu izpildi, piemēram: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izglītojamo nodrošināšana ar transportu braucienam uz teātri, koncertu, ekskursijā un līdzīgiem pasākumiem vai izglītības personāla nodrošināšana ar transportu braucienam uz apmācību pasākumiem, kas ir tieši saistīti ar izglītības procesu;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pakalpojumu, sociālās palīdzības vai sociālās aprūpes klientu nodrošināšana ar transportu braucienam uz teātri, koncertu, ekskursijā un līdzīgiem pasākumiem vai sociālo pakalpojumu, sociālās palīdzības vai sociālās aprūpes darbinieku nodrošināšana ar transportu braucienam uz apmācību pasākumiem, kas ir tieši saistīti ar sociālo pakalpojumu, sociālās palīdzības vai sociālās aprūpes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amatiermākslas kolektīvu nodrošināšana ar transportu braucieniem priekšnesumu un izrāžu sniegšanai ārpus pašvaldības administratīvās teritorijas un uz citiem līdzīgiem pasākumiem, izņemot skates un citus pamatdarbības ietvaros paredzētos pasākumus, vai pašvaldības kultūras darbinieku nodrošināšana ar transportu braucienam uz apmācību pasākumiem, kas ir tieši saistīti ar pašvaldības kultūras piedāvājuma nodrošināšanu.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mērķis ir sniegt atbalstu pašvaldībām bezemisiju transportlīdzekļu iegādei, veicinot pāreju uz klimatneitrālu ekonomiku.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mērķa grupa ir pašvaldību izglītības iestāžu izglītojamie, sociālo pakalpojumu, sociālās palīdzības un sociālās aprūpes saņēmēji, pašvaldības kultūras darbinieki, amatiermākslas kolektīvi un veselības aprūpes pakalpojumu saņēmēji.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līdz 2029. gada 31. decembrim, sasniedzot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rādītāju – bezemisiju transportlīdzekļi pašvaldību funkciju īstenošanai un pakalpojumu nodrošināšanai – vismaz 38 bezemisiju transportlīdzekļi, tai skaitā par Taisnīgas pārkārtošanās fonda finansējumu, kas pieejams līdz 2025. gada 31. decembrim, – vismaz 35 bezemisiju transportlīdzekļi;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rādītāju – jaunā vai modernizētā publiskā transporta lietotāju skaits gadā – vismaz 323 000 lietotāji (turpmāk – pasažieri) gadā, tai skaitā par Taisnīgas pārkārtošanās fonda finansējumu, kas pieejams līdz 2025. gada 31. decembrim, – 301 786 pasažieri gadā.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noteiktais iznākuma rādītājs ir sasniegts, kad sadarbības iestādē iesniegts bezemisiju transportlīdzekļa pirkuma līgums, pieņemšanas un nodošanas akts vai cits pirkumu un piegādi apliecinošs dokuments, kā arī uzlādes infrastruktūras izveide, ja attiecināms, tiek pamatota ar dokumentiem par pieņemšanu ekspluatācijā saskaņā ar būvniecības jomu reglamentējošajiem normatīvajiem aktiem.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minētā rezultāta rādītāja vērtība ir attiecināma ne vēlāk kā nākamajā kalendāra gadā pēc projekta noslēguma maksājuma veikšanas, nepārsniedzot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termiņu. Finansējuma saņēmējs Kohēzijas politikas fondu vadības informācijas sistēmā iesniedz pārskatu par pārvadāto pasažieru skaitu, kuru sadarbības iestāde izskata un apstiprina.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noteikto rādītāju vērtību sasniegšanas progresu sadarbības iestāde uzrauga katru gadu. Ja finansējuma saņēmējs projekta ietvaros noteiktās rādītāju vērtības sasniedz, sadarbības iestāde turpmāko rādītāju izpildes kontroli neveic.</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plānotais kopējais attiecināmais finansējums ir 24 916 838 </w:t>
      </w:r>
      <w:r w:rsidR="00000000" w:rsidRPr="00000000" w:rsidDel="00000000">
        <w:rPr>
          <w:i w:val="1"/>
          <w:rtl w:val="0"/>
        </w:rPr>
        <w:t xml:space="preserve">euro </w:t>
      </w:r>
      <w:r w:rsidR="00000000" w:rsidRPr="00000000" w:rsidDel="00000000">
        <w:rPr>
          <w:rtl w:val="0"/>
        </w:rPr>
        <w:t xml:space="preserve">(tai skaitā elastības finansējums – 1 636 535 </w:t>
      </w:r>
      <w:r w:rsidR="00000000" w:rsidRPr="00000000" w:rsidDel="00000000">
        <w:rPr>
          <w:i w:val="1"/>
          <w:rtl w:val="0"/>
        </w:rPr>
        <w:t xml:space="preserve">euro</w:t>
      </w:r>
      <w:r w:rsidR="00000000" w:rsidRPr="00000000" w:rsidDel="00000000">
        <w:rPr>
          <w:rtl w:val="0"/>
        </w:rPr>
        <w:t xml:space="preserve">), ko veido Taisnīgas pārkārtošanās fonda finansējums – 21 179 311 </w:t>
      </w:r>
      <w:r w:rsidR="00000000" w:rsidRPr="00000000" w:rsidDel="00000000">
        <w:rPr>
          <w:i w:val="1"/>
          <w:rtl w:val="0"/>
        </w:rPr>
        <w:t xml:space="preserve">euro </w:t>
      </w:r>
      <w:r w:rsidR="00000000" w:rsidRPr="00000000" w:rsidDel="00000000">
        <w:rPr>
          <w:rtl w:val="0"/>
        </w:rPr>
        <w:t xml:space="preserve">(tai skaitā elastības finansējums – 1 391 054 </w:t>
      </w:r>
      <w:r w:rsidR="00000000" w:rsidRPr="00000000" w:rsidDel="00000000">
        <w:rPr>
          <w:i w:val="1"/>
          <w:rtl w:val="0"/>
        </w:rPr>
        <w:t xml:space="preserve">euro</w:t>
      </w:r>
      <w:r w:rsidR="00000000" w:rsidRPr="00000000" w:rsidDel="00000000">
        <w:rPr>
          <w:rtl w:val="0"/>
        </w:rPr>
        <w:t xml:space="preserve">) un nacionālais finansējums (pašvaldību finansējums) – ne mazāk kā 3 737 527 </w:t>
      </w:r>
      <w:r w:rsidR="00000000" w:rsidRPr="00000000" w:rsidDel="00000000">
        <w:rPr>
          <w:i w:val="1"/>
          <w:rtl w:val="0"/>
        </w:rPr>
        <w:t xml:space="preserve">euro </w:t>
      </w:r>
      <w:r w:rsidR="00000000" w:rsidRPr="00000000" w:rsidDel="00000000">
        <w:rPr>
          <w:rtl w:val="0"/>
        </w:rPr>
        <w:t xml:space="preserve">(tai skaitā elastības finansējums – 245 481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finansējuma sadalījums pa projektu iesniegumu atlases kārtām (turpmāk – atlases kārta):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pieejamais finansējums ir 23 280 303 </w:t>
      </w:r>
      <w:r w:rsidR="00000000" w:rsidRPr="00000000" w:rsidDel="00000000">
        <w:rPr>
          <w:i w:val="1"/>
          <w:rtl w:val="0"/>
        </w:rPr>
        <w:t xml:space="preserve">euro</w:t>
      </w:r>
      <w:r w:rsidR="00000000" w:rsidRPr="00000000" w:rsidDel="00000000">
        <w:rPr>
          <w:rtl w:val="0"/>
        </w:rPr>
        <w:t xml:space="preserve">, tai skaitā Taisnīgas pārkārtošanās fonda finansējums – 19 788 257 </w:t>
      </w:r>
      <w:r w:rsidR="00000000" w:rsidRPr="00000000" w:rsidDel="00000000">
        <w:rPr>
          <w:i w:val="1"/>
          <w:rtl w:val="0"/>
        </w:rPr>
        <w:t xml:space="preserve">euro </w:t>
      </w:r>
      <w:r w:rsidR="00000000" w:rsidRPr="00000000" w:rsidDel="00000000">
        <w:rPr>
          <w:rtl w:val="0"/>
        </w:rPr>
        <w:t xml:space="preserve">un nacionālais finansējums – ne mazāk kā 3 492 046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statistiskā reģiona projektu īstenošanai – Taisnīgas pārkārtošanās fonda finansējums ir 4 412 781 </w:t>
      </w:r>
      <w:r w:rsidR="00000000" w:rsidRPr="00000000" w:rsidDel="00000000">
        <w:rPr>
          <w:i w:val="1"/>
          <w:rtl w:val="0"/>
        </w:rPr>
        <w:t xml:space="preserve">euro </w:t>
      </w:r>
      <w:r w:rsidR="00000000" w:rsidRPr="00000000" w:rsidDel="00000000">
        <w:rPr>
          <w:rtl w:val="0"/>
        </w:rPr>
        <w:t xml:space="preserve">un nacionālais finansējums – ne mazāk kā 778 726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Zemgales statistiskā reģiona projektu īstenošanai – Taisnīgas pārkārtošanās fonda finansējums ir 4 571 088 </w:t>
      </w:r>
      <w:r w:rsidR="00000000" w:rsidRPr="00000000" w:rsidDel="00000000">
        <w:rPr>
          <w:i w:val="1"/>
          <w:rtl w:val="0"/>
        </w:rPr>
        <w:t xml:space="preserve">euro </w:t>
      </w:r>
      <w:r w:rsidR="00000000" w:rsidRPr="00000000" w:rsidDel="00000000">
        <w:rPr>
          <w:rtl w:val="0"/>
        </w:rPr>
        <w:t xml:space="preserve">un nacionālais finansējums – ne mazāk kā 806 663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Vidzemes statistiskā reģiona projektu īstenošanai – Taisnīgas pārkārtošanās fonda finansējums ir 4 729 393 </w:t>
      </w:r>
      <w:r w:rsidR="00000000" w:rsidRPr="00000000" w:rsidDel="00000000">
        <w:rPr>
          <w:i w:val="1"/>
          <w:rtl w:val="0"/>
        </w:rPr>
        <w:t xml:space="preserve">euro </w:t>
      </w:r>
      <w:r w:rsidR="00000000" w:rsidRPr="00000000" w:rsidDel="00000000">
        <w:rPr>
          <w:rtl w:val="0"/>
        </w:rPr>
        <w:t xml:space="preserve">un nacionālais finansējums – ne mazāk kā 834 599 </w:t>
      </w:r>
      <w:r w:rsidR="00000000" w:rsidRPr="00000000" w:rsidDel="00000000">
        <w:rPr>
          <w:i w:val="1"/>
          <w:rtl w:val="0"/>
        </w:rPr>
        <w:t xml:space="preserve">euro;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Latgales statistiskā reģiona projektu īstenošanai – Taisnīgas pārkārtošanās fonda finansējums ir 6 074 995 </w:t>
      </w:r>
      <w:r w:rsidR="00000000" w:rsidRPr="00000000" w:rsidDel="00000000">
        <w:rPr>
          <w:i w:val="1"/>
          <w:rtl w:val="0"/>
        </w:rPr>
        <w:t xml:space="preserve">euro </w:t>
      </w:r>
      <w:r w:rsidR="00000000" w:rsidRPr="00000000" w:rsidDel="00000000">
        <w:rPr>
          <w:rtl w:val="0"/>
        </w:rPr>
        <w:t xml:space="preserve">un nacionālais finansējums – ne mazāk kā 1 072 058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plānotais elastības finansējums ir ne mazāks kā  1 636 535 </w:t>
      </w:r>
      <w:r w:rsidR="00000000" w:rsidRPr="00000000" w:rsidDel="00000000">
        <w:rPr>
          <w:i w:val="1"/>
          <w:rtl w:val="0"/>
        </w:rPr>
        <w:t xml:space="preserve">euro</w:t>
      </w:r>
      <w:r w:rsidR="00000000" w:rsidRPr="00000000" w:rsidDel="00000000">
        <w:rPr>
          <w:rtl w:val="0"/>
        </w:rPr>
        <w:t xml:space="preserve">, tai skaitā Taisnīgas pārkārtošanās fonda finansējums –  1 391 054 </w:t>
      </w:r>
      <w:r w:rsidR="00000000" w:rsidRPr="00000000" w:rsidDel="00000000">
        <w:rPr>
          <w:i w:val="1"/>
          <w:rtl w:val="0"/>
        </w:rPr>
        <w:t xml:space="preserve">euro </w:t>
      </w:r>
      <w:r w:rsidR="00000000" w:rsidRPr="00000000" w:rsidDel="00000000">
        <w:rPr>
          <w:rtl w:val="0"/>
        </w:rPr>
        <w:t xml:space="preserve">un nacionālais finansējums – ne mazāk kā  245 481 </w:t>
      </w:r>
      <w:r w:rsidR="00000000" w:rsidRPr="00000000" w:rsidDel="00000000">
        <w:rPr>
          <w:i w:val="1"/>
          <w:rtl w:val="0"/>
        </w:rPr>
        <w:t xml:space="preserve">euro.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minētajam kopējam finansējuma apmēram, paredzot elastības finansējuma izmantošanu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minētajai otrajai atlases kārtai.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Neizmantoto pirmās atlases kārtas finansējumu un finansējumu, kas atbrīvojies projektu īstenošanas rezultātā, novirza otrajai atlases kārtai.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Neizmantoto otrās atlases kārtas finansējumu un finansējumu, kas atbrīvojies projektu īstenošanas rezultātā, novirza secīgi nākamajam projekta iesniegumam ar augstāko kvalitātes kritēriju vērtējumu.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 maksimālais Taisnīgas pārkārtošanās fonda finansējuma apmērs ir 85 procenti no projekta iesnieguma attiecināmo izmaksu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Taisnīgas pārkārtošanās fonda finansējums ir 3 000 000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kas pēc projekta iesnieguma apstiprināšanas ir finansējuma saņēmējs, pasākuma ietvaros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šādas pašvaldības: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Alūksnes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Balvu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Bauskas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Cēsu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Daugavpils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Dienvidkurzemes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Dobeles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Gulbenes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Jelgavas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Jelgavas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Jēkabpils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Krāslavas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Kuldīgas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Liepājas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Līvānu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Ludzas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Madonas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Preiļu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Rēzeknes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Rēzeknes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Saldus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Smiltenes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Talsu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Valkas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Valmieras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Varakļānu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Ventspils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Ventspils valstspilsētas pašvaldība;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pašvaldības izveidota 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pašvaldības kapitālsabiedrība, kas veic pašvaldības deleģēto pārvaldes uzdevumu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projekta iesniegumam papildus pievieno informāciju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pašvaldība organizē transporta pakalpojumus, lai atbilstoši projektā paredzētā bezemisiju transportlīdzekļa plānotajai izmantošanai nodrošinātu: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izglītojamo nokļūšanu izglītības iestādē vai citā mācību īstenošanas vietā un atpakaļ dzīvesvietā;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pakalpojumu, sociālās palīdzības vai sociālās aprūpes klientu vai darbinieku nogādāšanu pakalpojuma sniegšanas vai saņemšanas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kultūras darbinieku vai amatiermākslas kolektīvu nokļūšanu kultūras pasākumu (vai to mēģinājumu) norises vietā pašvaldībā, uz skatēm vai  citiem pamatdarbības ietvaros paredzētajiem pasākumiem, kas ir tieši saistīti ar pašvaldības kultūras piedāvājuma nodrošināšanu;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aprūpes pakalpojuma pieejamību, organizējot pacientu nokļūšanu ārstniecības iestādē un atpakaļ dzīvesvietā vai citā veselības aprūpes pakalpojuma sniegšanas vietā, ja esošā sabiedriskā transporta sistēma nav tam piemērota;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plānoto bezemisiju transportlīdzekli (tehnisko specifikāciju);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uzlādes punkta izbūvei nepieciešamās infrastruktūras īpašumtiesībām, kā arī par būvniecības, lietošanas, uzturēšanas un attīstības (tai skaitā modernizēšanas un pārbūves) kārtību (attiecināms, ja paredzēta uzlādes infrastruktūras būvniecība);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tiek uzraudzīta iegādāto pamatlīdzekļu izmantošana projekta dzīves cikla laikā (bezemisiju transportlīdzekļa un tā darbības nodrošināšanai izveidotās uzlādes infrastruktūras amortizācijas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projekta ietvaros iegādāto bezemisiju transportlīdzekli reģistrē Latvijas Republikā, tai skaitā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bezemisiju transportlīdzekli iegādājas no ražotāja vai tā oficiālā pārstāvja, kas ir komersants un ko ražotājs ir oficiāli pilnvarojis pārstāvēt savas intereses, tai skaitā no komersanta, kas veic transportlīdzekļa pārbūvi, ja projekta ietvaros paredzēts iegādāties šo noteikumu </w:t>
      </w:r>
      <w:r w:rsidR="00000000" w:rsidRPr="00000000" w:rsidDel="00000000">
        <w:rPr>
          <w:rtl w:val="0"/>
        </w:rPr>
        <w:t xml:space="preserve">28.1.2. </w:t>
      </w:r>
      <w:r w:rsidR="00000000" w:rsidRPr="00000000" w:rsidDel="00000000">
        <w:rPr>
          <w:rtl w:val="0"/>
        </w:rPr>
        <w:t xml:space="preserve">apakšpunktā</w:t>
      </w:r>
      <w:r w:rsidR="00000000" w:rsidRPr="00000000" w:rsidDel="00000000">
        <w:rPr>
          <w:rtl w:val="0"/>
        </w:rPr>
        <w:t xml:space="preserve"> minēto bezemisiju transportlīdzekli;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bezemisiju transportlīdzeklim ir veikta transportlīdzekļa atbilstības novērtēšana saskaņā ar normatīvajiem aktiem par mehānisko transportlīdzekļu un to sastāvdaļu atbilstības novērtēšanu.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ievēro principu "Nenodarīt būtisku kaitējumu", kas atbilst </w:t>
      </w:r>
      <w:r w:rsidR="00000000" w:rsidRPr="00000000" w:rsidDel="00000000">
        <w:rPr>
          <w:rtl w:val="0"/>
        </w:rPr>
        <w:t xml:space="preserve">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ko groza regulu (ES) 2019/2088 18. pantam un normatīvajiem aktiem vides jomā,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iesniegumam ir pievienots apliecinājums, ka pēc transportlīdzekļa ekspluatācijas beigām tas tiks utilizēts atbilstoši normatīvajiem aktiem nolietotu transportlīdzekļu apsaimniekošanas jomā, paredzot, ka tas tiks nodots apstrādes uzņēmumam, kas nodrošina nolietotu transportlīdzekļu pārstrādi un atkārtoti izmantojamo detaļu un materiālu atguvi un atgriešanu tautsaimniecībā;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projekts ir iekļauts pašvaldības attīstības programmā un investīciju plānā, un projekta ietvaros paredzēto darbību īstenošana (bezemisiju transportlīdzekļa iegāde) uzlabos gaisa kvalitāti.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atbalstu var saņemt M1 kategorijas specializēto bezemisiju transportlīdzekļu iegādei, kas paredzēti arī ratiņkrēslos sēdošu cilvēku un cilvēku ar īpašām vajadzībām pārvadāšanai (turpmāk – M1 kategorijas bezemisiju transportlīdzeklis), kā arī M2 kategorijas un M3 kategorijas bezemisiju transportlīdzekļu iegādei.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Projektā iekļauj šādas atbalstāmās darbības, kas ietver investīcijas bezemisiju transportlīdzekļu iegādei un uzlādes  infrastruktūras izveidei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M1, M2 un M3 kategorijas mehānisko transportlīdzekļu iegāde, kuri atbilst Eiropas Parlamenta un Padomes 2018. gada 30. maija Regulas (ES) </w:t>
      </w:r>
      <w:r w:rsidR="00000000" w:rsidRPr="00000000" w:rsidDel="00000000">
        <w:rPr>
          <w:rtl w:val="0"/>
        </w:rPr>
        <w:t xml:space="preserve">208/858</w:t>
      </w:r>
      <w:r w:rsidR="00000000" w:rsidRPr="00000000" w:rsidDel="00000000">
        <w:rPr>
          <w:rtl w:val="0"/>
        </w:rPr>
        <w:t xml:space="preserve">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 punkta ''a'' apakšpunktā noteiktajam transportlīdzekļu kategoriju dalījumam un kuri pēc savas konstrukcijas kā vienīgo mehānisko dzinējspēku izmanto enerģiju no transportlīdzeklī glabātās elektroenerģijas vai dzinējspēka glabāšanas iekārtas, un kuru siltumnīcefekta gāzu (turpmāk – SEG) emisijas ir 0 g CO</w:t>
      </w:r>
      <w:r w:rsidR="00000000" w:rsidRPr="00000000" w:rsidDel="00000000">
        <w:rPr>
          <w:vertAlign w:val="subscript"/>
          <w:rtl w:val="0"/>
        </w:rPr>
        <w:t xml:space="preserve">2</w:t>
      </w:r>
      <w:r w:rsidR="00000000" w:rsidRPr="00000000" w:rsidDel="00000000">
        <w:rPr>
          <w:rtl w:val="0"/>
        </w:rPr>
        <w:t xml:space="preserve">/km. Minēto transportlīdzekļu nobraukums starp pilnas uzlādes reizēm atbilstoši normatīvajiem aktiem par mopēdu, mehānisko transportlīdzekļu, to piekabju un sastāvdaļu atbilstības novērtēšanu testa braukšanas ciklam pilsētas apstākļos vai ārpus pilsētas ir vismaz 200 km, un transportlīdzekļu maksimālais ātrums ir vismaz 70 km stundā. Šo noteikumu izpratnē ar jaunu M1, M2 vai M3 kategorijas bezemisiju transportlīdzekli saprot: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rūpnieciski ražotu M1, M2 vai M3 kategorijas bezemisiju transportlīdzekli, kas nav bijis pastāvīgi reģistrēts un kas pastāvīgā uzskaitē tā galalietotājam Latvijā tiek reģistrēts pirmo reizi, un kura odometra rādījums (nobraukums) pastāvīgās uzskaites reģistrācijas brīdī nepārsniedz 6000 km;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M1, M2 vai M3 kategorijas bezemisiju transportlīdzekli pārbūvētu transportlīdzekli, kas kā bezemisiju transportlīdzeklis nav bijis pastāvīgi reģistrēts un kas pastāvīgā uzskaitē tā galalietotājam Latvijā kā bezemisiju transportlīdzeklis tiek reģistrēts pirmo reizi, vienlaikus ievērojot, ka atbalstāma par bezemisiju transportlīdzekli pārbūvēta ar fosilās izcelsmes degvielu darbināma transportlīdzekļa iegāde, kas nav vecāks par 10 gadiem kopš tā pirmreizējās reģistrācijas brīža;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saistītās bezemisiju transportlīdzekļa uzlādes infrastruktūras izveide atbilstoši ieguldījumu veidam – šo noteikumu </w:t>
      </w:r>
      <w:r w:rsidR="00000000" w:rsidRPr="00000000" w:rsidDel="00000000">
        <w:rPr>
          <w:rtl w:val="0"/>
        </w:rPr>
        <w:t xml:space="preserve">28.1. </w:t>
      </w:r>
      <w:r w:rsidR="00000000" w:rsidRPr="00000000" w:rsidDel="00000000">
        <w:rPr>
          <w:rtl w:val="0"/>
        </w:rPr>
        <w:t xml:space="preserve">apakšpunktā</w:t>
      </w:r>
      <w:r w:rsidR="00000000" w:rsidRPr="00000000" w:rsidDel="00000000">
        <w:rPr>
          <w:rtl w:val="0"/>
        </w:rPr>
        <w:t xml:space="preserve"> minēto M1, M2 vai M3 kategorijas bezemisiju transportlīdzekļu darbības nodrošināšanai ar uzlādes punkta izejas jaudu un veidu, kas atbilst projekta iesniegumā un projekta ietvaros plānotā M2 vai M3 kategorijas bezemisiju transportlīdzekļa darbības nodrošināšanai.  M1, M2 un M3 kategorijas bezemisiju transportlīdzekļu uzlādes punkta tehniskās prasības atbilst normatīvajiem aktiem, kas regulē prasības elektrotransportlīdzekļu uzlādes iekārtām;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nav atbalstāma lietotu bezemisiju transportlīdzekļu iegāde vai tādu transportlīdzekļu iegāde, kas neatbilst šo noteikumu </w:t>
      </w:r>
      <w:r w:rsidR="00000000" w:rsidRPr="00000000" w:rsidDel="00000000">
        <w:rPr>
          <w:rtl w:val="0"/>
        </w:rPr>
        <w:t xml:space="preserve">28.1. </w:t>
      </w:r>
      <w:r w:rsidR="00000000" w:rsidRPr="00000000" w:rsidDel="00000000">
        <w:rPr>
          <w:rtl w:val="0"/>
        </w:rPr>
        <w:t xml:space="preserve">apakšpunktā</w:t>
      </w:r>
      <w:r w:rsidR="00000000" w:rsidRPr="00000000" w:rsidDel="00000000">
        <w:rPr>
          <w:rtl w:val="0"/>
        </w:rPr>
        <w:t xml:space="preserve"> minētajām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projekta ietvaros paredzēts iegādāties M1 vai M2 kategorijas bezemisiju transportlīdzekli vai par bezemisiju transportlīdzekli pārbūvētu transportlīdzekli, Taisnīgas pārkārtošanās fonda finansējums par vienu transportlīdzekļa vienību nepārsniedz 300 000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projekta ietvaros paredzēts iegādāties M3 kategorijas bezemisiju transportlīdzekli, Taisnīgas pārkārtošanās fonda finansējums par vienu transportlīdzekļa vienību nepārsniedz 557 350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Projektā var plānot uzlādes punktu skaitu, kas nepārsniedz projekta ietvaros iegādāto bezemisiju transportlīdzekļu skaitu.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ietvaros ir atbalstāmas darbības, kas minētas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ietverot investīcijas infrastruktūrā, kas ir projekta iesniedzēja īpašumā vai turējumā, un vienlaikus sekmē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atbalstāmas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minētās tiešās attiecināmās izmaksas, kas sekmē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rādītāju sasniegšanu, ietver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un uzraudzības izmaksas, kas kopā nepārsniedz desmit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tai skaitā: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apliecinājuma kartes vai paskaidrojuma raksta izstrādes izmaksas projektā paredzētajām darbībām;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ekspertīzes un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autoruzraudzības un būvuzraudzības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 </w:t>
      </w:r>
      <w:r w:rsidR="00000000" w:rsidRPr="00000000" w:rsidDel="00000000">
        <w:rPr>
          <w:rtl w:val="0"/>
        </w:rPr>
        <w:t xml:space="preserve">apakšpunktā</w:t>
      </w:r>
      <w:r w:rsidR="00000000" w:rsidRPr="00000000" w:rsidDel="00000000">
        <w:rPr>
          <w:rtl w:val="0"/>
        </w:rPr>
        <w:t xml:space="preserve"> minētā bezemisiju transportlīdzekļa iegādes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transportlīdzekļa monitoringa sistēmas iegādes un uzstādīšanas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globālās pozicionēšanas sistēmas iegādes un uzstādīšanas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videoreģistratora iegādes un uzstādīšanas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automātiskās pasažieru uzskaites sistēmas iegādes un uzstādīšanas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jaunas uzlādes infrastruktūras izveides izmaksas, nepārsniedzot 30 procentus no projekta kopējām attiecināmajām izmaksām,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stacionārā vai mobilā uzlādes punkta, tai skaitā uzlādes punkta vadības un monitoringa sistēmas, iegādes, piegādes, montāžas un būvdarbu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stacionāram uzlādes punktam nepieciešamo stāvvietu un piebrauktuvju izbūves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uzlādes infrastruktūras drošības sistēmu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būvobjekta (stacionārā uzlādes punkta un ar to saistītās infrastruktūras) nodošanu ekspluatācijā saskaņā ar būvniecības jomu reglamentējošajiem normatīvajiem aktiem;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ietvaros iegādātā bezemisiju transportlīdzekļa īpašnieka civiltiesiskās atbildības obligātās apdrošināšanas un brīvprātīgās sauszemes transportlīdzekļu apdrošināšanas izmaksas, kas iegādātas projekta īstenošanas laikā, ievērojot, ka polises derīguma termiņš nepārsniedz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termiņu;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personāla izmaksas, kuras saskaņā ar Eiropas Parlamenta un Padomes 2021. gada 24. jūnija Regulas (ES) </w:t>
      </w:r>
      <w:r w:rsidR="00000000" w:rsidRPr="00000000" w:rsidDel="00000000">
        <w:rPr>
          <w:rtl w:val="0"/>
        </w:rPr>
        <w:t xml:space="preserve">2021/1060</w:t>
      </w:r>
      <w:r w:rsidR="00000000" w:rsidRPr="00000000" w:rsidDel="00000000">
        <w:rPr>
          <w:i w:val="1"/>
          <w:rtl w:val="0"/>
        </w:rPr>
        <w:t xml:space="preserve">, </w:t>
      </w:r>
      <w:r w:rsidR="00000000" w:rsidRPr="00000000" w:rsidDel="00000000">
        <w:rPr>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i w:val="1"/>
          <w:rtl w:val="0"/>
        </w:rPr>
        <w:t xml:space="preserve"> </w:t>
      </w:r>
      <w:r w:rsidR="00000000" w:rsidRPr="00000000" w:rsidDel="00000000">
        <w:rPr>
          <w:rtl w:val="0"/>
        </w:rPr>
        <w:t xml:space="preserve">(turpmāk – regula Nr. 2021/1060), 55. panta 1. punktu plāno kā vienu izmaksu pozīciju, piemērojot vienoto izmaksu likmi trīs procentu apmērā no projekta tiešajām attiecināmajām izmaksām, bet neieskaitot tiešās personāla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minētās netiešās attiecināmās izmaksas ir finansējuma saņēmēja projekta vadības personāla administratīvās izmaksas. Tās plāno kā vienu izmaksu pozīciju, piemērojot netiešo izmaksu vienoto likmi 15 procentu apmērā no šo noteikumu </w:t>
      </w:r>
      <w:r w:rsidR="00000000" w:rsidRPr="00000000" w:rsidDel="00000000">
        <w:rPr>
          <w:rtl w:val="0"/>
        </w:rPr>
        <w:t xml:space="preserve">36.6.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attiecināmajām izmaksām saskaņā ar regulas </w:t>
      </w:r>
      <w:r w:rsidR="00000000" w:rsidRPr="00000000" w:rsidDel="00000000">
        <w:rPr>
          <w:rtl w:val="0"/>
        </w:rPr>
        <w:t xml:space="preserve">Nr. 2021/1060</w:t>
      </w:r>
      <w:r w:rsidR="00000000" w:rsidRPr="00000000" w:rsidDel="00000000">
        <w:rPr>
          <w:rtl w:val="0"/>
        </w:rPr>
        <w:t xml:space="preserve"> 64. panta 1. punkta "c" apakšpunktu.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iesniegumā neiekļauj un finansējumu nepiešķir pabeigtām darbībām, un izmaksas ir attiecināmas no projekta iesnieguma iesniegšanas brīža sadarbības iestādē, izņemot šo noteikumu </w:t>
      </w:r>
      <w:r w:rsidR="00000000" w:rsidRPr="00000000" w:rsidDel="00000000">
        <w:rPr>
          <w:rtl w:val="0"/>
        </w:rPr>
        <w:t xml:space="preserve">36.1.1. </w:t>
      </w:r>
      <w:r w:rsidR="00000000" w:rsidRPr="00000000" w:rsidDel="00000000">
        <w:rPr>
          <w:rtl w:val="0"/>
        </w:rPr>
        <w:t xml:space="preserve">apakšpunktā</w:t>
      </w:r>
      <w:r w:rsidR="00000000" w:rsidRPr="00000000" w:rsidDel="00000000">
        <w:rPr>
          <w:rtl w:val="0"/>
        </w:rPr>
        <w:t xml:space="preserve">  minētās izmaksas, kas ir attiecināmas, ja tās veiktas pēc 2021. gada 1. janvāra.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nepārsniedzot šādus termiņus: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  līdz 2026. gada 31. decembrim;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  līdz 2028.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plānotajiem un sasniegtajiem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horizontālo principu rādītājiem, tai skaitā: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skaitu, kuros ar Taisnīgas pārkārtošanās fonda ieguldījumiem ir nodrošināta vides un informācijas pieejamība;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skaitu par būvētās vides piekļūstamību personām ar dažādiem funkcionāliem traucējumiem (piemēram, vides piekļūstamības ekspertu konsultācijas būvprojekta izstrādes un pabeigšanas posmā);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 un ievēro šādus principus: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 </w:t>
      </w:r>
      <w:r w:rsidR="00000000" w:rsidRPr="00000000" w:rsidDel="00000000">
        <w:rPr>
          <w:rtl w:val="0"/>
        </w:rPr>
        <w:t xml:space="preserve">43.2. </w:t>
      </w:r>
      <w:r w:rsidR="00000000" w:rsidRPr="00000000" w:rsidDel="00000000">
        <w:rPr>
          <w:rtl w:val="0"/>
        </w:rPr>
        <w:t xml:space="preserve">apakšpunktā</w:t>
      </w:r>
      <w:r w:rsidR="00000000" w:rsidRPr="00000000" w:rsidDel="00000000">
        <w:rPr>
          <w:rtl w:val="0"/>
        </w:rPr>
        <w:t xml:space="preserve"> minētajiem horizontālo principu rādītājiem;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iegādāto bezemisiju transportlīdzekļu vienību un uzlādes punktu (ja attiecināms) skaitu un projekta ietekmi uz SEG emisiju samazinājumu, pamatojot, kā bezemisiju transportlīdzekļu izmantošana veicinās SEG emisiju samazināšanu, un norādot SEG emisiju samazinājuma vērtību (ja attiecināms);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aizstāto ar fosilās izcelsmes degvielu darbināmo transportlīdzekļu skaitu, kurus pārtrauc ekspluatēt (ja attiecināms);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pārvadāto pasažieru skaitu gadā;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novadu teritoriālo vienību skaitu, kas iekļautas bezemisiju transportlīdzekļa maršrutā (ja attiecināms);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Nr</w:t>
      </w:r>
      <w:r w:rsidR="00000000" w:rsidRPr="00000000" w:rsidDel="00000000">
        <w:rPr>
          <w:i w:val="1"/>
          <w:rtl w:val="0"/>
        </w:rPr>
        <w:t xml:space="preserve">. </w:t>
      </w:r>
      <w:r w:rsidR="00000000" w:rsidRPr="00000000" w:rsidDel="00000000">
        <w:rPr>
          <w:rtl w:val="0"/>
        </w:rPr>
        <w:t xml:space="preserve">2021/1060</w:t>
      </w:r>
      <w:r w:rsidR="00000000" w:rsidRPr="00000000" w:rsidDel="00000000">
        <w:rPr>
          <w:rtl w:val="0"/>
        </w:rPr>
        <w:t xml:space="preserve"> </w:t>
      </w:r>
      <w:r w:rsidR="00000000" w:rsidRPr="00000000" w:rsidDel="00000000">
        <w:rPr>
          <w:i w:val="1"/>
          <w:rtl w:val="0"/>
        </w:rPr>
        <w:t xml:space="preserve"> </w:t>
      </w:r>
      <w:r w:rsidR="00000000" w:rsidRPr="00000000" w:rsidDel="00000000">
        <w:rPr>
          <w:rtl w:val="0"/>
        </w:rPr>
        <w:t xml:space="preserve">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2018. gada 18. jūlija Regulas (ES, Euratom) </w:t>
      </w:r>
      <w:r w:rsidR="00000000" w:rsidRPr="00000000" w:rsidDel="00000000">
        <w:rPr>
          <w:i w:val="1"/>
          <w:rtl w:val="0"/>
        </w:rPr>
        <w:t xml:space="preserve">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publiskos iepirkumus regulējošo normatīvo aktu prasībām, kā arī paraksta interešu konflikta neesības apliecinājumu.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nodrošina, ka projekta ietvaros plānotais atbalsts nepārklājas ar citos projektos piešķirto valsts un ārvalstu finanšu atbalsta instrumentu atbalstu un novērš dubultā finansējuma situāciju projekta īstenošanā.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Sadarbības iestāde, ja tai ir pieejami valsts budžeta līdzekļi, pēc civiltiesiskā līguma vai vienošanās par projekta īstenošanu noslēgšanas, pamatojoties uz finansējuma saņēmēja rakstisku avansa pieprasījumu un izvērtējot plānotā avansa apmēru, tā pamatojumu un finansējuma saņēmēja spēju avansu izlietot sešu mēnešu laikā saimnieciskā gada ietvaros (finansējuma saņēmējam ir pabeigts iepirkums), var piešķirt finansējuma saņēmējam avansu. Finansējuma saņēmējam avansu var piešķirt līdz 80 procentiem no projektam piešķirtā Taisnīgas pārkārtošanās fonda finansējuma, ievērojot, ka avansu var izmaksāt vairākos maksājumos un avansa un starpposma maksājumu kopsumma nepārsniedz 90 procentus no projektam piešķirtā Taisnīgas pārkārtošanās fonda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vai centralizēto iepirkumu institūcija nepieciešamos iepirkumus projekta ietvaros veic saskaņā ar publisko iepirkumu reglamentējošajiem normatīvajiem aktiem, īstenojot atklātu, pārredzamu, nediskriminējošu un konkurenci nodrošinošu konkursa procedūru.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nodrošina, ka projektā tiek paredzēts zaļais publiskais iepirkums būvdarbu, preču vai pakalpojumu grupās, kurām nacionālajos normatīvajos aktos izstrādāts zaļā publiskā iepirkuma regulējums un tā piemērošanas kārtība. Atbalstāma ir vides piekļūstamības un izmantojamības nodrošināšana, veicot sociāli atbildīgu publisko iepirkumu, kur tas ir attiecināms un atbilstošs ieguldījumu specifikai.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Pasākuma ietvaros ieguldījumus infrastruktūrā var veikt: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publiskas personas īpašumā, ja īpašuma turējuma tiesības projekta iesniedzējs ir ieguvis uz termiņu, kas nav īsāks par pieciem gadiem no projekta noslēguma maksājuma veikšanas finansējuma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Pirms tiek noslēgts civiltiesiskais līgums vai vienošanās par projekta īstenošanu, finansējuma saņēmēja tiesības veikt ieguldījumus zemes īpašumā tiek nostiprinātas zemesgrāmatā.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Īpašuma tiesības attiecībā uz projekta ietvaros atbalstītajiem infrastruktūras objektiem nemaina, un ieguldījums paliek Latvijas Republikas teritorijā vismaz projekta dzīves cikla laikā pēc projekta noslēguma maksājuma veikšanas finansējuma saņēmējam. Īpašuma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paredzētās izmaksas ir attiecināmas, ja ar saimniecisko darbību nesaistīta projekta ietvaros iegādāto bezemisiju transportlīdzekli un tā darbības nodrošināšanai izveidoto uzlādes infrastruktūru (ja attiecināms) izmanto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paredzētās papildinošās saimnieciskās darbības veikšanai, kas kopumā nepārsniedz 20 procentus no to gada jaudas laika izteiksmē.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Vienu un to pašu M1, M2 vai M3 kategorijas bezemisiju transportlīdzekļu iegādei un, ja attiecināms, to darbības nodrošināšanai nepieciešamās uzlādes infrastruktūras izveidei paredzētās darbības neiekļauj vairākos šī pasākuma ietvaros iesniegtajos projektos.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Pasākuma ietvaros netiek sniegts atbalsts darbībām, kas tiek finansētas, izmantojot Eiropas Savienības Atveseļošanas un noturības mehānisma plāna trešās komponentes "Nevienlīdzības mazināšana" 3.1. reformu un investīciju virziena "Reģionālā politika" 3.1.1.6.i. investīcijai "Pašvaldību funkciju īstenošanai un pakalpojumu sniegšanai nepieciešamo bezemisiju transportlīdzekļu iegāde" pieejamo finansējumu.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pašvaldības kapitālsabiedrība, kas pilda pašvaldības deleģētos pārvaldes uzdevumus, nodarbojas ar saimniecisko darbību, tā nodala pašvaldības deleģētos pārvaldes uzdevumus no citiem darbības veidiem atbilstoši normatīvajiem aktiem grāmatvedības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ar saimniecisko darbību nesaistīts projekts vai projekts, kas saistīts ar tādu saimniecisko darbību, kurai sniegtais atbalsts nav kvalificējams kā komercdarbības atbalsts projekta dzīves ciklā (M1, M2 vai M3 kategorijas bezemisiju transportlīdzekļa un tā darbības nodrošināšanai nepieciešamās uzlādes infrastruktūras amortizācijas periodā), kļūst par projektu, kas saistīts ar saimniecisko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tiek konstatēts, ka ir pārsniegts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minētais M1, M2 vai M3 kategorijas bezemisiju transportlīdzekļa un tā darbības nodrošināšanai nepieciešamās uzlādes infrastruktūras izmantošanas ierobežojums 20 procentu apjomā no gada jaudas laika izteiksmē, finansējuma saņēmējam proporcionāli tai gada jaudas daļai laika izteiksmē, par kuru kopumā ir konstatēts pārkāpums, ir pienākums atmaksāt sadarbības iestādei visu projekta ietvaros saņemto nelikumīgo komercdarbības atbalstu kopā ar procentiem par attiecīgo gadu, kurā pārsniegts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minētais 20 procentu ierobežojums no  bezemisiju transportlīdzekļa un tā uzlādes infrastruktūras gada jaudas laika izteiksmē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Sadarbības iestāde nodrošina veikto investīciju atbilstības uzraudzību visā projekta dzīves ciklā atbilstoši šo noteikumu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punktam</w:t>
      </w:r>
      <w:r w:rsidR="00000000" w:rsidRPr="00000000" w:rsidDel="00000000">
        <w:rPr>
          <w:rtl w:val="0"/>
        </w:rPr>
        <w:t xml:space="preserve">. Atbildīgā iestāde izstrādā metodiskos norādījumus par papildinošas saimnieciskās darbības uzraudzību.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Finansējuma saņēmējs visā projekta dzīves ciklā ik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minētais 20 procentu ierobežojums no M1, M2 vai M3 kategorijas bezemisiju transportlīdzekļa un tā  uzlādes infrastruktūras gada jaudas laika izteiksmē, tas saskaņā ar civiltiesisko līgumu vai vienošanos par projekta īstenošanu noteiktajā termiņā iesniedz sadarbības iestādē ziņojumu par konstatēto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nosacījumu pārkāpumu.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Sadarbības iestāde, izvērtējot finansējuma saņēmēja sniegto un sadarbības iestādes rīcībā esošo informāciju un konstatējot pārkāpumus, pieņem lēmumu par Taisnīgas pārkārtošanās fonda finansējuma maksājumu apturēšanu vai atgūšanu no finansējuma saņēmēja saskaņā ar civiltiesisko līgumu vai vienošanos par projekta īstenošanu vai veic finansējuma atgūšanu,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konstatē būtiskus pārkāpumus projekta īstenošanas un uzraudzības laikā, tai skaitā ja nav veikta bezemisiju transportlīdzekļa reģistrācija saskaņā ar normatīvajiem aktiem par transportlīdzekļu reģistrāciju vai finansējuma saņēmējs neievēro šo noteikumu </w:t>
      </w:r>
      <w:r w:rsidR="00000000" w:rsidRPr="00000000" w:rsidDel="00000000">
        <w:rPr>
          <w:rtl w:val="0"/>
        </w:rPr>
        <w:t xml:space="preserve">52.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konstatē, ka sadarbības iestādē nav iesniegts bezemisiju transportlīdzekļa pirkuma līgums, pieņemšanas un nodošanas akts vai cits pirkumu un piegādi apliecinošs dokuments, nav nodrošināta projekta mērķa un rādītāju sasniegšana, un projekta īstenošanas rezultātā nav iegādāts M1, M2 vai M3 bezemisiju transportlīdzeklis, kā arī nav izveidota tā darbības nodrošināšanai atbilstoša uzlādes infrastruktūra (ja attiecināms).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Finansējuma saņēmējs glabā projekta dokumentāciju un nodrošina tās pieejamību visā projekta dzīves ciklā (M1, M2 vai M3 kategorijas bezemisiju transportlīdzekļa un tā darbības nodrošināšanai izveidotās uzlādes infrastruktūras (ja attiecināms) amortizācijas periodā).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Īstenojot projektu, finansējuma saņēmējs nodrošina: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 projekta ietvaros iegādātais bezemisiju transportlīdzeklis un, ja attiecināms, tā darbības nodrošināšanai paredzētā uzlādes infrastruktūra tiks izmantota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nodrošinot bezmaksas transporta pakalpojumu šo noteikumu </w:t>
      </w:r>
      <w:r w:rsidR="00000000" w:rsidRPr="00000000" w:rsidDel="00000000">
        <w:rPr>
          <w:rtl w:val="0"/>
        </w:rPr>
        <w:t xml:space="preserve">6. </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pašvaldības autonomo funkciju izpildei;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sasniegto rezultātu ilgtspēju un uzturēšanu, tai skaitā mērķa uzturēšanai nepieciešamos līdzekļus, visā projekta dzīves ciklā pēc noslēguma maksājuma veikšanas, nodrošinot transportlīdzekļa īpašnieka civiltiesiskās atbildības obligāto apdrošināšanu, brīvprātīgo sauszemes transportlīdzekļu apdrošināšanu un monitoringa sistēmu (tai skaitā bezemisiju transportlīdzekļa uzlādes punkta vadības un monitoringa sistēmas) vai globālās pozicionēšanas sistēmas darbību;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plūsmas (tai skaitā pievienotās vērtības nodokļa izmaksu uzskaiti) uzskatāmu nodalīšanu no citām finansējuma saņēmēja darbības finanšu plūsmām projekta īstenošanas laikā un visā projekta dzīves ciklā.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23-TA-1763</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23-TA-1763</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noteikumu_projekts_23-TA-1763.docx</dc:title>
</cp:coreProperties>
</file>

<file path=docProps/custom.xml><?xml version="1.0" encoding="utf-8"?>
<Properties xmlns="http://schemas.openxmlformats.org/officeDocument/2006/custom-properties" xmlns:vt="http://schemas.openxmlformats.org/officeDocument/2006/docPropsVTypes"/>
</file>