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Fizisko personu elektroniskās identifikācijas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Fizisko personu elektroniskās identifikācijas likumā (Latvijas Vēstnesis, 2015, 230. nr.; 2021, 207.nr.)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Papildināt 1.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"1¹) Eiropas digitālās identitātes maks — elektroniskās identifikācijas līdzeklis regulas Nr. 910/2014/ES 3. panta 42. punkta izpratnē."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13.¹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"13.¹ pants. Eiropas digitālās identitātes maka darbības regulējums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Eiropas digitālās identitātes maka izveides, izsniegšanas, izmantošanas, darbības apturēšanas un darbības izbeigšanas kārtību, Eiropas digitālās identitātes maka satvarā iesaistīto subjektu savstarpējās sadarbības kārtību, kā arī Eiropas digitālās identitātes maka sertifikācijas un uzraudzības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pants. Kvalificēta vai kvalificēta paaugstinātas drošības elektroniskās identifikācijas pakalpojuma sniedzēja un Eiropas digitālās identitātes maka satvara uzraudzības institūcija."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Uzraudzības institūcija veic regulas Nr. 910/2014/ES 46.a pantā noteikto Eiropas digitālās identitātes maka satvara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19. pantu ar 1.</w:t>
      </w:r>
      <w:r w:rsidR="00000000" w:rsidRPr="00000000" w:rsidDel="00000000">
        <w:rPr>
          <w:vertAlign w:val="superscript"/>
          <w:rtl w:val="0"/>
        </w:rPr>
        <w:t xml:space="preserve">3</w:t>
      </w:r>
      <w:r w:rsidR="00000000" w:rsidRPr="00000000" w:rsidDel="00000000">
        <w:rPr>
          <w:rtl w:val="0"/>
        </w:rPr>
        <w:t xml:space="preserve">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kā arī elektroniskā pakalpojuma pieprasīšanai un saņemšanai izmantot Eiropas digitālās identitātes maku atbilstoši regulas Nr. 910/2014/ES prasībām."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26-TA-1413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26-TA-1413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likumprojekts_(grozījumi)_26-TA-1413.docx</dc:title>
</cp:coreProperties>
</file>

<file path=docProps/custom.xml><?xml version="1.0" encoding="utf-8"?>
<Properties xmlns="http://schemas.openxmlformats.org/officeDocument/2006/custom-properties" xmlns:vt="http://schemas.openxmlformats.org/officeDocument/2006/docPropsVTypes"/>
</file>