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2017. gada 28. novembra noteikumos Nr. 704 "Prasības transportlīdzekļu braukšanas ātruma mērierīcēm"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"</w:t>
      </w:r>
      <w:r w:rsidR="00000000" w:rsidRPr="00000000" w:rsidDel="00000000">
        <w:rPr>
          <w:rStyle w:val="paragraph"/>
          <w:i w:val="1"/>
          <w:rtl w:val="0"/>
        </w:rPr>
        <w:t xml:space="preserve">Par mērījumu vienotību</w:t>
      </w:r>
      <w:r w:rsidR="00000000" w:rsidRPr="00000000" w:rsidDel="00000000">
        <w:rPr>
          <w:rStyle w:val="paragraph"/>
          <w:i w:val="1"/>
          <w:rtl w:val="0"/>
        </w:rPr>
        <w:t xml:space="preserve">"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6. 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2017. gada 28. novembra noteikumos Nr. 704 "Prasības transportlīdzekļu braukšanas ātruma mērierīcēm" (Latvijas Vēstnesis, 2017, 238. nr.; 2022, 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Noteikumi nosaka metroloģiskās prasības valsts metroloģiskajai kontrolei pakļautajām transportlīdzekļu braukšanas ātruma kontroles mērierīcēm (turpmāk – ātruma mērierīce).";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"2.5. mērķa transportlīdzeklis – transportlīdzeklis, kura ātrumu mēra ar ātruma mērierīci;";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2.11.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2.12.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2.13.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"7.1. ātruma mērierīces tipa apstiprināšanā: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7.1.1. ±1 km/h, ja mērķa transportlīdzekļa ātrums nepārsniedz 100 km/h;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7.1.2. ±1 % no mērķa transportlīdzekļa ātruma, ja mērķa transportlīdzekļa ātrums pārsniedz 100 km/h;";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7.2.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7.3.1.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"7.3.1. ±3 km/h, ja mērķa transportlīdzekļa braukšanas ātrums nepārsniedz 100 km/h;";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7.3.2.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"7.3.2. ±3 % no mērķa transportlīdzekļa braukšanas ātruma, ja mērķa transportlīdzekļa braukšanas ātrums pārsniedz 100 km/h.";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8.1.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"8.1. mērāmo lielumu diapazonu – ātruma mērierīce nodrošina mērķa transportlīdzekļa ātruma fiksēšanu diapazonā no vismaz 20 km/h līdz ne mazāk kā 200 km/h;";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26.1.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"26.1. mērķa transportlīdzekļa izmērītais braukšanas ātrums;";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"29. Ātruma mērierīcēm, kuras izmantojamas paredzētajam mērķim tikai pēc to uzstādīšanas transportlīdzeklī, pirmreizējo verificēšanu veic pēc mērierīces uzstādīšanas transportlīdzeklī.";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2026.gada 1.janvārī.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25-TA-1615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25-TA-1615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noteikumu_(grozījumu)_projekts_25-TA-1615.docx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