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16. jūlijā (prot. Nr. 29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 septembra noteikumos Nr. 530 "Dzelzceļa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w:t>
      </w:r>
      <w:r w:rsidR="00000000" w:rsidRPr="00000000" w:rsidDel="00000000">
        <w:rPr>
          <w:rStyle w:val="paragraph"/>
          <w:i w:val="1"/>
          <w:rtl w:val="0"/>
        </w:rPr>
        <w:t xml:space="preserve"> 5. panta pirmās daļas 2. punktu un otrās daļas 3. punktu, 14.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 un </w:t>
      </w:r>
      <w:r w:rsidR="00000000" w:rsidRPr="00000000" w:rsidDel="00000000">
        <w:rPr>
          <w:rStyle w:val="paragraph"/>
          <w:i w:val="1"/>
          <w:rtl w:val="0"/>
        </w:rPr>
        <w:t xml:space="preserve">Dzelzceļa likuma</w:t>
      </w:r>
      <w:r w:rsidR="00000000" w:rsidRPr="00000000" w:rsidDel="00000000">
        <w:rPr>
          <w:rStyle w:val="paragraph"/>
          <w:i w:val="1"/>
          <w:rtl w:val="0"/>
        </w:rPr>
        <w:t xml:space="preserve"> 22.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 septembra noteikumos Nr. 530 "Dzelzceļa būvnoteikumi" (Latvijas Vēstnesis, 2014, 193. nr.; 2018, 191. nr.; 2019, 235. nr.; 2020, 136. nr.; 2021, 33., 237. nr.; 2022, 123.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16.4.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16.6.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 būvkonstrukciju daļai, kā arī citiem būvprojekta daļās iekļautajiem risinājumiem, kas ietekmē dzelzceļa vai citu inženierbūvju nestspēju;".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29.2.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30.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31.2.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36.3.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"36.4. būvprojekta sadaļas, par kurām ir veikta būvprojekta būvekspertīze, attiecīgajām izmaiņām veic atkārtotu būvprojekta ekspertīzi vispārīgajos būvnoteikumos noteiktajos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Ja būvprojektā ir izdarītas šo noteikumu 36. punktā minētās izmaiņas, kas attiecas uz Būvniecības likuma 16. panta 2.</w:t>
      </w:r>
      <w:r w:rsidR="00000000" w:rsidRPr="00000000" w:rsidDel="00000000">
        <w:rPr>
          <w:vertAlign w:val="superscript"/>
          <w:rtl w:val="0"/>
        </w:rPr>
        <w:t xml:space="preserve">2</w:t>
      </w:r>
      <w:r w:rsidR="00000000" w:rsidRPr="00000000" w:rsidDel="00000000">
        <w:rPr>
          <w:rtl w:val="0"/>
        </w:rPr>
        <w:t xml:space="preserve"> daļā noteiktajiem gadījumiem, izmainītās būvprojekta daļas vai sadaļas ar skaidrojošu aprakstu par veiktajām izmaiņām iesniedz saskaņošanai Valsts dzelzceļa tehniskajā inspekcijā."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38.4.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Dzelzceļa infrastruktūras objekta būvdarbus, kas notiek blakus ekspluatācijā esošai dzelzceļa infrastruktūrai un ietekmē tās darbību, drīkst veikt būvkomersants, kas normatīvajos aktos noteiktajā kārtībā ir saņēmis drošības apliecību dzelzceļa infrastruktūras tehniskā aprīkojuma būvniecībai."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41.7.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67.3.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79.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 Dzelzceļa infrastruktūras objekts ir uzskatāms par pieņemtu ekspluatācijā ar akta izdošanas dienu, ja normatīvie akti, kas reglamentē dzelzceļa ekspluatāciju, nenosaka citādi. Dzelzceļa infrastruktūras objekta pieņemšana ekspluatācijā nav uzskatāma par stacionāras iekārtas ekspluatācijas atļauju normatīvo aktu par dzelzceļa savstarpējo izmantojamību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87.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23-TA-2630</w:t>
    </w:r>
    <w:r>
      <w:br/>
    </w:r>
    <w:r w:rsidR="00000000" w:rsidRPr="00000000" w:rsidDel="00000000">
      <w:rPr>
        <w:rtl w:val="0"/>
      </w:rPr>
      <w:t xml:space="preserve">Izdrukāts 29.07.2026. 22.26 - 1.0.VK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23-TA-2630</w:t>
    </w:r>
    <w:r>
      <w:br/>
    </w:r>
    <w:r w:rsidR="00000000" w:rsidRPr="00000000" w:rsidDel="00000000">
      <w:rPr>
        <w:rtl w:val="0"/>
      </w:rPr>
      <w:t xml:space="preserve">Izdrukāts 29.07.2026. 22.26 - 1.0.VK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noteikumu_(grozījumu)_projekts_23-TA-2630.docx</dc:title>
</cp:coreProperties>
</file>

<file path=docProps/custom.xml><?xml version="1.0" encoding="utf-8"?>
<Properties xmlns="http://schemas.openxmlformats.org/officeDocument/2006/custom-properties" xmlns:vt="http://schemas.openxmlformats.org/officeDocument/2006/docPropsVTypes"/>
</file>