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144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11. martā (prot. Nr. 10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31. jūlija noteikumos Nr. 525 "Kārtība, kādā atsevišķiem naftas produktiem piemēro samazinātu akcīzes nodokļa likmi vai atbrīvojumu no akcīzes nodokļa"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akcīzes nodokli</w:t>
      </w:r>
      <w:r w:rsidR="00000000" w:rsidRPr="00000000" w:rsidDel="00000000">
        <w:rPr>
          <w:rStyle w:val="paragraph"/>
          <w:i w:val="1"/>
          <w:rtl w:val="0"/>
        </w:rPr>
        <w:t xml:space="preserve">"</w:t>
      </w:r>
      <w:r>
        <w:br/>
      </w:r>
      <w:r w:rsidR="00000000" w:rsidRPr="00000000" w:rsidDel="00000000">
        <w:rPr>
          <w:rStyle w:val="paragraph"/>
          <w:i w:val="1"/>
          <w:rtl w:val="0"/>
        </w:rPr>
        <w:t xml:space="preserve">5. panta piekto daļu, 18. panta pirmo un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28. panta piekto daļu un</w:t>
      </w:r>
      <w:r>
        <w:br/>
      </w:r>
      <w:r w:rsidR="00000000" w:rsidRPr="00000000" w:rsidDel="00000000">
        <w:rPr>
          <w:rStyle w:val="paragraph"/>
          <w:i w:val="1"/>
          <w:rtl w:val="0"/>
        </w:rPr>
        <w:t xml:space="preserve">likuma "Par nodokļu piemērošanu brīvostās un</w:t>
      </w:r>
      <w:r>
        <w:br/>
      </w:r>
      <w:r w:rsidR="00000000" w:rsidRPr="00000000" w:rsidDel="00000000">
        <w:rPr>
          <w:rStyle w:val="paragraph"/>
          <w:i w:val="1"/>
          <w:rtl w:val="0"/>
        </w:rPr>
        <w:t xml:space="preserve">speciālajās ekonomiskajās zonās"</w:t>
      </w:r>
      <w:r>
        <w:br/>
      </w:r>
      <w:r w:rsidR="00000000" w:rsidRPr="00000000" w:rsidDel="00000000">
        <w:rPr>
          <w:rStyle w:val="paragraph"/>
          <w:i w:val="1"/>
          <w:rtl w:val="0"/>
        </w:rPr>
        <w:t xml:space="preserve">3. panta desmito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2007. gada 31. jūlija noteikumos Nr. 525 "Kārtība, kādā atsevišķiem naftas produktiem piemēro samazinātu akcīzes nodokļa likmi vai atbrīvojumu no akcīzes nodokļa" (Latvijas Vēstnesis, 2007, 132. nr.; 2008, 162. nr.; 2009, 23., 103., 177. nr.; 2010, 51./52., 97. nr.; 2015, 30. nr.; 2018, 142. nr.; 2019, 129. nr.; 2021, 248. nr.; 2023, 225.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Likuma "Par nodokļu piemērošanu brīvostās un speciālajās ekonomiskajās zonās" 3. panta astotās daļas 4. punktu piemēro, ja naftas produktus piegādā atbilstoši šo noteikumu IV nodaļā minētajām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41.8.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"41.8. 3826 00 10 un 3826 00 90, ja šos produktus paredzēts izmantot par kurināmo vai degvielu."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"47.1. šo noteikumu 6. un 7. pielikumā, lai iezīmētos (marķētos) naftas produktus varētu izmantot likuma 14. panta otrajā daļā vai likuma "Par nodokļu piemērošanu brīvostās un speciālajās ekonomiskajās zonās" 3. panta astotās daļas 4. punktā noteiktajam mērķim;".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64.7.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"64.7. lietotājam, kam izsniegta izziņa iezīmēto (marķēto) naftas produktu iegādei (izmantošanai par kurināmo), ir zudušas valdījuma tiesības uz attiecīgo ēku vai tiesības veikt attiecīgās ēkas apsaimniekošanu."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Lietotājam, kurš neizmanto citu preču ražošanā, bet gan citiem mērķiem (izņemot par degvielu vai kurināmo) naftas produktus, kas atbilstoši iepakojumu reglamentējošo normatīvo aktu, tehnisko noteikumu vai standartu prasībām ir iepildīti slēgtā iepakojumā, sagatavoti realizācijai un nav paredzēti iekšdedzes dzinēju (ar dzirksteles aizdedzi un ar kompresijas aizdedzi) darbināšanai (piemēram, laku un krāsu šķīdinātājus, virsmas attaukošanas, mazgāšanas līdzekļus), un neatbilst Kombinētās nomenklatūras kodiem 2710 12 41, 2710 12 45, 2710 12 49, 2710 12 50, 2710 19 25, 2710 19 42, 2710 19 44, 2710 19 46, 2710 19 62, 2710 19 66 un 2710 19 67, ir tiesības veikt arī citas nepieciešamās darbības ar minētajiem naftas produktiem (piemēram, nosūtīt, realizēt), ja tas ir norādīts izziņā naftas produktu izmantošanai divējādi vai citiem mērķiem."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24-TA-3327</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24-TA-3327</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noteikumu_(grozījumu)_projekts_24-TA-3327.docx</dc:title>
</cp:coreProperties>
</file>

<file path=docProps/custom.xml><?xml version="1.0" encoding="utf-8"?>
<Properties xmlns="http://schemas.openxmlformats.org/officeDocument/2006/custom-properties" xmlns:vt="http://schemas.openxmlformats.org/officeDocument/2006/docPropsVTypes"/>
</file>