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7. novembrī (prot. Nr. 56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27. oktobra noteikumos Nr. 617 "Darbības programmas "Izaugsme un nodarbinātība" 1.2.2. specifiskā atbalsta mērķa "Veicināt inovāciju ieviešanu komersantos" 1.2.2.1. pasākuma "Atbalsts nodarbināto apmācībām"  un 13.1.6. specifiskā atbalsta mērķa "Atveseļošanas pasākumi ekonomikas nozarē – nodarbināto apmācības (ERAF)" pirmās un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w:t>
      </w:r>
      <w:r>
        <w:br/>
      </w:r>
      <w:r w:rsidR="00000000" w:rsidRPr="00000000" w:rsidDel="00000000">
        <w:rPr>
          <w:rStyle w:val="paragraph"/>
          <w:i w:val="1"/>
          <w:rtl w:val="0"/>
        </w:rPr>
        <w:t xml:space="preserve">un Kohēzijas fonda 2014.–2020. gada plānošanas perioda </w:t>
      </w:r>
      <w:r>
        <w:br/>
      </w:r>
      <w:r w:rsidR="00000000" w:rsidRPr="00000000" w:rsidDel="00000000">
        <w:rPr>
          <w:rStyle w:val="paragraph"/>
          <w:i w:val="1"/>
          <w:rtl w:val="0"/>
        </w:rPr>
        <w:t xml:space="preserve">vadības likuma 20. panta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27. oktobra noteikumos Nr. 617 "Darbības programmas "Izaugsme un nodarbinātība" 1.2.2. specifiskā atbalsta mērķa "Veicināt inovāciju ieviešanu komersantos" 1.2.2.1. pasākuma "Atbalsts nodarbināto apmācībām"  un 13.1.6. specifiskā atbalsta mērķa "Atveseļošanas pasākumi ekonomikas nozarē – nodarbināto apmācības (ERAF)" pirmās un otrās projektu iesniegumu atlases kārtas īstenošanas noteikumi" (Latvijas Vēstnesis, 2015, 218. nr.; 2016, 239. nr.; 2017, 119. nr.; 2018, 137. nr.; 2019, 92. nr.; 2020, 51., 234. nr.; 2021, 93. nr.; 2022, 137.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Šo noteikumu ietvaros līdz 2023. gada 31. decembrim atbilstoši šo noteikumu 5.</w:t>
      </w:r>
      <w:r w:rsidR="00000000" w:rsidRPr="00000000" w:rsidDel="00000000">
        <w:rPr>
          <w:vertAlign w:val="superscript"/>
          <w:rtl w:val="0"/>
        </w:rPr>
        <w:t xml:space="preserve">1</w:t>
      </w:r>
      <w:r w:rsidR="00000000" w:rsidRPr="00000000" w:rsidDel="00000000">
        <w:rPr>
          <w:rtl w:val="0"/>
        </w:rPr>
        <w:t xml:space="preserve"> punktā minētajam 13.1.6. specifiskā atbalsta mērķa finansējumam ir sasniedzami šādi iznākuma rādītāji un to vērtības: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 atbalstīto komersantu skaits līdz 2023. gada 31. decembrim – 85;</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 komersantu skaits, kuri saņem grantus, līdz 2023. gada 31. decembrim – 85;</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 personu skaits līdz 2023. gada 31. decembrim, kuras saņem nefinansiālu atbalstu, – 899."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Lēmumu par komercdarbības atbalsta piešķiršanu pirmās un otrās atlases kārtas projektiem var pieņemt: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 saskaņā ar Komisijas regulu Nr. 1407/2013 – līdz minētās regulas 7. panta 4. punktā minētajam termiņam;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 saskaņā ar Komisijas regulu Nr. 651/2014 –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Ja projektā faktiski apgūtais finansējuma apjoms pēc noslēguma pārskata apstiprināšanas ir mazāks nekā sākotnēji iesniegtajā projekta iesniegumā plānotais, tad jānodrošina, ka projekta ietvaros faktiski sasniegtie rādītāji (komersantu skaits un apmācīto darbinieku skaits) nodrošina specifiskā atbalsta mērķa kopējo plānoto rādītāju sasniegšanu. Minētajā gadījumā projektam apstiprināto intensitāti un finansējuma apjomu samazina, pieprasot starpposma vai noslēguma maksājumu, atbilstoši faktiskajam apmācīto nodarbināto skaitam no sīkajiem (mikro), mazajiem, vidējiem un lielajiem komersantiem."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49.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Ja konstatē, ka Komisijas regulas Nr. 1407/2013 prasību pārkāpuma dēļ finansējuma saņēmējs, tai skaitā partnerībā esoša biedrība vai nodibinājums, ja projekts tiek īstenots partnerībā, saņēmis nelikumīgu komercdarbības atbalstu, finansējuma saņēmējam, tai skaitā partnerībā esošai biedrībai vai nodibinājumam, ja projekts tiek īstenots partnerībā, ir pienākums atmaksāt sadarbības iestādei visu projekta ietvaros saņemto nelikumīgo komercdarbības atbalstu kopā ar procentiem, kurus aprēķina no dienas, kad nelikumīgais komercdarbības atbalsts tika izmaksāts finansējuma saņēmējam, tai skaitā partnerībā esošai biedrībai vai nodibinājumam, ja projekts tiek īstenots partnerībā, līdz tā atgūšanas dienai, no līdzekļiem, kas brīvi no komercdarbības atbalsta saskaņā ar Komercdarbības atbalsta kontroles likuma IV vai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49.</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3</w:t>
      </w:r>
      <w:r w:rsidR="00000000" w:rsidRPr="00000000" w:rsidDel="00000000">
        <w:rPr>
          <w:rtl w:val="0"/>
        </w:rPr>
        <w:t xml:space="preserve"> Ja konstatē, ka Komisijas regulas Nr. 1407/2013 prasību pārkāpuma dēļ gala labuma guvējs saņēmis nelikumīgu komercdarbības atbalstu, finansējuma saņēmējam, tai skaitā partnerībā esošai biedrībai vai nodibinājumam, ja projekts tiek īstenots partnerībā, ir pienākums atmaksāt sadarbības iestādei visu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kurus aprēķina no dienas, kad komercdarbības atbalsts tika izmaksāts gala labuma guvējam, līdz tā atgūšanas dienai, no līdzekļiem, kas brīvi no komercdarbības atbalsta saskaņā ar Komercdarbības atbalsta kontroles likuma IV vai V nodaļu. Minētajā gadījumā finansējuma saņēmējam, tai skaitā partnerībā esošai biedrībai vai nodibinājumam, ja projekts tiek īstenots partnerībā, ir tiesības no gala labuma guvēja saņemt kompensāciju atmaksātā nelikumīgā atbalsta (kopā ar procentiem) apmērā."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23-TA-1196</w:t>
    </w:r>
    <w:r>
      <w:br/>
    </w:r>
    <w:r w:rsidR="00000000" w:rsidRPr="00000000" w:rsidDel="00000000">
      <w:rPr>
        <w:rtl w:val="0"/>
      </w:rPr>
      <w:t xml:space="preserve">Izdrukāts 29.07.2026. 22.24 - 1.0.VK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23-TA-1196</w:t>
    </w:r>
    <w:r>
      <w:br/>
    </w:r>
    <w:r w:rsidR="00000000" w:rsidRPr="00000000" w:rsidDel="00000000">
      <w:rPr>
        <w:rtl w:val="0"/>
      </w:rPr>
      <w:t xml:space="preserve">Izdrukāts 29.07.2026. 22.24 - 1.0.VK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noteikumu_(grozījumu)_projekts_23-TA-1196.docx</dc:title>
</cp:coreProperties>
</file>

<file path=docProps/custom.xml><?xml version="1.0" encoding="utf-8"?>
<Properties xmlns="http://schemas.openxmlformats.org/officeDocument/2006/custom-properties" xmlns:vt="http://schemas.openxmlformats.org/officeDocument/2006/docPropsVTypes"/>
</file>