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februārī (prot. Nr. 7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200 000 000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Aizsardzības ministrijas budžeta apakšprogrammu 22.12.00 "Nacionālo bruņoto spēku uzturēšana", lai nodrošinātu pretgaisa aizsardzības sistēmu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valsts budžeta apropriācijas pārdalei atbilstoši šā rīkojuma 1. punktam, kā arī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24-TA-90</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24-TA-90</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rīkojuma_projekts_24-TA-90.docx</dc:title>
</cp:coreProperties>
</file>

<file path=docProps/custom.xml><?xml version="1.0" encoding="utf-8"?>
<Properties xmlns="http://schemas.openxmlformats.org/officeDocument/2006/custom-properties" xmlns:vt="http://schemas.openxmlformats.org/officeDocument/2006/docPropsVTypes"/>
</file>