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aprīlī (prot. Nr. 14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kārtas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kārtas un 4.1.1.5. pasākuma "Neatliekamās medicīniskās palīdzības dienesta attīstība" īstenošanas noteikumi" (Latvijas Vēstnesis, 2023, 163.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pirmo un piekto kārtu un 4.1.1.5. pasākumu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4.1.1.1. pasākuma pirmās un piektās kārtas ietvaros sasniedzamie iznākuma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pirmās kārtas ietvaros sasniedzamais iznākuma rādītājs – jaunu vai modernizētu veselības aprūpes iestāžu kapacitāte, nodrošinot, ka līdz 2029. gada 31. decembrim pasākuma ietvaros izveidotās vai uzlabotās veselības aprūpes iestādes vismaz vienu reizi gada laikā apmeklē 2 320 755 iedzīvotāji;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piektās kārtas ietvaros sasniedzamie iznākuma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8.2.1. uzlaboto ārstniecības iestāžu skaits, kurās attīstīta infrastruktūra veselības aprūpes pakalpojumu sniegšanai, – 4 ārstniecības iestādes;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 iedzīvotāju skaits, kuriem ir pieejami uzlaboti veselības aprūpes pakalpojumi, – 1 839 598 iedzīvotāji."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Specifiskā atbalsta mērķa iznākuma rādītājs – noslēgto līgumu īpatsvars par ieguldījumiem veselības aprūpes infrastruktūras objektos, nodrošinot, ka līdz 2029. gada 31. decembrim noslēgti līgumi vai vienošanās par projektu īstenošanu 100 procentu apmērā no specifiskā atbalsta mērķim pieejamā kopējā attiecināmā finansējuma, tai skaitā 4.1.1.1. pasākuma pirmās kārtas ietvaros līdz 2024. gada 31. decembrim – vismaz 5 procentu apmērā no specifiskā atbalsta mērķim pieejamā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Specifiskā atbalsta mērķa rezultāta rādītājs – personu skaits gadā, kuras izmanto jaunu vai modernizētu veselības aprūpes iestāžu pakalpojumus, nodrošinot, ka līdz 2029. gada 31. decembrim jaunu vai modernizētu veselības aprūpes iestāžu pakalpojumus izmanto 3 878 460 personas gadā, tai skaitā 4.1.1.1. pasākuma pirmās kārtas ietvaros – 2 109 778 personas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4.1.1.1. pasākuma pirmās kārtas ietvaros plānotais un pieejamais kopējais finansējums ir 82 767 751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70 352 588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12 415 163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4.1.1.1. pasākuma piektās kārtas ietvaros plānotais un pieejamais kopējais finansējums ir 81 543 211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69 311 729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12 231 482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Maksimālais attiecināmais Eiropas Reģionālās attīstības fonda finansējuma apmērs nav lielāks par 85 procentiem, bet nacionālais finansējums, kas iekļauj valsts budžeta un privāto finansējumu, nav mazāks par 15 procentiem no projektam plānotā kopējā attiecināmā finansējuma. Attiecināmais nacionālais privātais līdzfinansējums katram projektam tiek noteikts saskaņā ar šo noteikumu 44.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4.1.1.1. pasākuma pirmās un piektās kārtas finansējuma saņēmējiem, izņemot šo noteikumu 23. punktā</w:t>
      </w:r>
      <w:r w:rsidR="00000000" w:rsidRPr="00000000" w:rsidDel="00000000">
        <w:rPr>
          <w:color w:val="#e74c3c"/>
          <w:rtl w:val="0"/>
        </w:rPr>
        <w:t xml:space="preserve"> </w:t>
      </w:r>
      <w:r w:rsidR="00000000" w:rsidRPr="00000000" w:rsidDel="00000000">
        <w:rPr>
          <w:rtl w:val="0"/>
        </w:rPr>
        <w:t xml:space="preserve">minēto gadījumu, komercdarbības atbalstu piešķir atbilstoši šīs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Par komercdarbības atbalsta piešķiršanas dienu ir uzskatāma: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4.1.1.1. pasākuma pirmās kārtas ietvaros – diena, kad sadarbības iestāde sniedz lēmumu par projekta apstiprināšanu vai atzinumu par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4.1.1.1. pasākuma piektās kārtas ietvaros – diena, kad pieņemts sadarbības iestādes lēmums par Eiropas Savienības fondu 2014.–2020. gada plānošanas perioda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projekta iesnieguma apstiprināšanu;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ja pēc līguma noslēgšanas 4.1.1.1. pasākuma pirmās kārtas ietvaros šo noteikumu pielikuma 1.1. un 1.8. ailē minētie finansējuma saņēmēji vai 4.1.1.1. pasākuma piektās kārtas finansējuma saņēmēji iesniedz priekšlikumus par grozījumiem līguma nosacījumos, palielinot attiecināmās izmaksas atbilstoši šo noteikumu 55. punktam, – līguma grozījumu parakstīšanas diena."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Sadarbības iestāde pasākuma projektu iesniegumu atlases ietvaros organizē ierobežotas projektu iesniegumu atlases, uzaicinot tajās piedalīties šo noteikumu pielikumā minētos katra pasākuma projektu iesniedzējus. 4.1.1.1. pasākuma piektās kārtas ietvaros projektu iesniegumu atlase netiek veikta."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nodrošina šo noteikumu 33.4. apakšpunktā minētos komunikācijas un vizuālās identitātes prasību nodrošināšanas pasākumus saskaņā ar Regulas Nr. 2021/1060 47. un 50. pantu un normatīvajiem aktiem par kārtību, kādā Eiropas Savienības struktūrfondu un Kohēzijas fonda ieviešanā 2021.–2027. gada plānošanas periodā nodrošināma komunikācijas un vizuālās identitātes prasību ievērošana, kā arī ievēro Eiropas Savienības fondu 2021.–2027. gada plānošanas perioda un Atveseļošanas fonda komunikācijas un dizaina vadlīnijas;".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nodrošina horizontālā principa "Vienlīdzība, iekļaušana, nediskriminācija un pamattiesību ievērošana" īstenošanu un uzkrāj datus par šādiem rādītājiem (šis nosacījums neattiecas uz 4.1.1.1. pasākuma piektās kārtas finansējuma saņēmējiem):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50.2.1. objektu skaits, kuros Eiropas Reģionālās attīstības fonda ieguldījumu rezultātā ir nodrošināta vides un informācijas pieejamība. Finansējuma saņēmējam ir pienākums sniegt minēto informāciju, iesniedzot noslēguma maksājuma pieprasījumu par visu projekta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50.2.2. veiktā vides un informācijas piekļūstamības pašnovērtējuma rezultāts atbilstoši Labklājības ministrijas izstrādātajai metodikai un pašnovērtējumā iegūtais punktu skaits, aizpildot vides pieejamības pašnovērtējuma anketu (https://www.lm.gov.lv/lv/vides-un-informacijas-pieklustamibas-pasnovertejums-saskana-ar-lbn-200-21). Finansējuma saņēmējam ir pienākums sniegt minēto informāciju, iesniedzot pēdējo maksājuma pieprasījumu par visu projekta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 uzkrāj datus par projekta ietekmi uz šajos noteikumos minētajiem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50.5.1. 4.1.1.1. pasākuma pirmās kārtas ietvaros – par faktiski sasniegto šo noteikumu 10. punktā minēto rādītāju;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50.5.2. 4.1.1.1. pasākuma piektās kārtas ietvaros – par faktiski sasniegtajiem šo noteikumu 8.2. apakšpunktā minētajiem iznākuma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50.5.3. 4.1.1.5. pasākuma ietvaros – par faktiski sasniegto šo noteikumu 11. punktā minēto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 atbilstoši Regulas Nr. 2021/1060 9. panta 4. punktam un Eiropas Parlamenta un Padomes 2020. gada 18. jūnija Regulas (ES) 2020/852 par regulējuma izveidi ilgtspējīgu ieguldījumu veicināšanai un ar kuru groza Regulu (ES) 2019/2088, 17. pantam nodrošina, ka tiek ievēroti šādi principa "Nenodarīt būtisku kaitējumu" vides mērķi (šis nosacījums neattiecas uz 4.1.1.1. pasākuma piektās kārtas finansējuma saņēmējiem):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50.7.1. klimata pārmaiņu mazināšana;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50.7.2. pielāgošanās klimata pārmaiņām;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50.7.3. ilgtspējīga ūdens un jūras resursu izmantošana un aizsardzība;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50.7.4. pāreja uz aprites ekonomiku, ieskaitot atkritumu rašanās novēršanu un to reciklēšanu;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50.7.5. piesārņojuma novēršana un kontrole;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50.7.6. bioloģiskās daudzveidības un ekosistēmu aizsardzība un atjaunošana;".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Finansējuma saņēmējs veicina, ka atbalsts ne mazāk kā 30 procentu apmērā tiek ieguldīts infrastruktūras attīstībā, kurā tiek nodrošināti sekundārie ambulatorie veselības aprūpes pakalpojumi, izņemot šo noteikumu pielikuma 1.8., 1.9., 1.10. un 1.13. ailē minētos 4.1.1.1. pasākuma finansējuma saņēmējus, 4.1.1.1. pasākuma piektās kārtas finansējuma saņēmējus un 4.1.1.5. pasākuma finansējuma saņēmēju, kā arī attiecīgi nodrošina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4.1.1.1. pasākuma pirmās projektu iesniegumu atlases kārtas ietvaros šo noteikumu pielikuma 1.1. un 1.8. ailē minētie finansējuma saņēmēji un 4.1.1.1. pasākuma piektās kārtas finansējuma saņēmēji var iesniegt priekšlikumus par grozījumiem līguma nosacījumos, paredzot palielināt attiecināmās izmaksas, bet nepārsniedzot šo noteikumu pielikuma 1.1., 1.8., 2.1. un 2.2. ailē norādīto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ministra pienākumu izpildītāja ‒ 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24-TA-81</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24-TA-81</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noteikumu_(grozījumu)_projekts_24-TA-81.docx</dc:title>
</cp:coreProperties>
</file>

<file path=docProps/custom.xml><?xml version="1.0" encoding="utf-8"?>
<Properties xmlns="http://schemas.openxmlformats.org/officeDocument/2006/custom-properties" xmlns:vt="http://schemas.openxmlformats.org/officeDocument/2006/docPropsVTypes"/>
</file>