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maijā (prot. Nr. 24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23 070 823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18.00.00 "Finansējums valsts drošības stiprināšanas pasākumiem" uz Iekšlietu ministrijas budžeta programmu 07.00.00 "Ugunsdrošība, glābšana un civilā aizsardzība", lai ar valsts drošību saistītā prioritārā pasākuma "Speciālo ugunsdzēsības un glābšanas transportlīdzekļu iegāde" ietvaros iegādātos ugunsdzēsības autocisternas (finansējums avansa maksājumam).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w:t>
      </w:r>
      <w:r w:rsidR="00000000" w:rsidRPr="00000000" w:rsidDel="00000000">
        <w:rPr>
          <w:rtl w:val="0"/>
        </w:rPr>
        <w:t xml:space="preserve">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w:t>
      </w:r>
      <w:r w:rsidR="00000000" w:rsidRPr="00000000" w:rsidDel="00000000">
        <w:rPr>
          <w:rtl w:val="0"/>
        </w:rPr>
        <w:t xml:space="preserve">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23-TA-807</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23-TA-807</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rīkojuma_projekts_23-TA-807.docx</dc:title>
</cp:coreProperties>
</file>

<file path=docProps/custom.xml><?xml version="1.0" encoding="utf-8"?>
<Properties xmlns="http://schemas.openxmlformats.org/officeDocument/2006/custom-properties" xmlns:vt="http://schemas.openxmlformats.org/officeDocument/2006/docPropsVTypes"/>
</file>