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318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maijā (prot. Nr. 26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Atzīt par spēku zaudējušu </w:t>
      </w:r>
      <w:r w:rsidR="00000000" w:rsidRPr="00000000" w:rsidDel="00000000">
        <w:rPr>
          <w:rtl w:val="0"/>
        </w:rPr>
        <w:t xml:space="preserve">Ministru kabineta 2001. gada 18. decembra rīkojumu Nr. 612 "Par Latvijas Republikas Aizsardzības ministrijas un Dānijas Karalistes Aizsardzības ministrijas līgumu par drošības pasākumiem klasificētās militārās informācijas aizsardzībai"</w:t>
      </w:r>
      <w:r w:rsidR="00000000" w:rsidRPr="00000000" w:rsidDel="00000000">
        <w:rPr>
          <w:rtl w:val="0"/>
        </w:rPr>
        <w:t xml:space="preserve"> (Latvijas Vēstnesis, 2001, 186.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vietā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22-TA-261</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22-TA-261</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rīkojuma_projekts_22-TA-261.docx</dc:title>
</cp:coreProperties>
</file>

<file path=docProps/custom.xml><?xml version="1.0" encoding="utf-8"?>
<Properties xmlns="http://schemas.openxmlformats.org/officeDocument/2006/custom-properties" xmlns:vt="http://schemas.openxmlformats.org/officeDocument/2006/docPropsVTypes"/>
</file>