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Jūras vides aizsardzības un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Jūras vides aizsardzības un pārvaldības likumā (Latvijas Vēstnesis, 2010, 183., 205. nr.; 2013, 243. nr.; 2014, 119. nr.; 2015, 230. nr.; 2019, 248.A nr.; 2022, 75.A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"konkursā" ar vārdiem "vai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w:t>
      </w:r>
      <w:r w:rsidR="00000000" w:rsidRPr="00000000" w:rsidDel="00000000">
        <w:rPr>
          <w:vertAlign w:val="superscript"/>
          <w:rtl w:val="0"/>
        </w:rPr>
        <w:t xml:space="preserve">1</w:t>
      </w:r>
      <w:r w:rsidR="00000000" w:rsidRPr="00000000" w:rsidDel="00000000">
        <w:rPr>
          <w:rtl w:val="0"/>
        </w:rPr>
        <w:t xml:space="preserve"> daļu ar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"Atbildīgā ministrija pēc savas iniciatīvas sagatavo Ministru kabineta rīkojuma projektu par atļaujas vai licences laukuma jūrā noteikšanu šā panta otrās daļas 7. punktā minēto darbību veikšanai, ja ir iecerēta šā panta otrās daļas 4. punktā minēto būvju būvniecība un tiesības atļaujas vai licences laukuma jūrā izmantošanai tiks piešķirtas izsoles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2</w:t>
      </w:r>
      <w:r w:rsidR="00000000" w:rsidRPr="00000000" w:rsidDel="00000000">
        <w:rPr>
          <w:rtl w:val="0"/>
        </w:rPr>
        <w:t xml:space="preserve"> daļā vārdus "publisko ūdeņu nomu" ar vārdiem "publiskas personas mantas iznomāšanu";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6. punktu šādā redakcijā: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kārtību, kādā rīkojama izsole par tiesībām izmantot atļaujas vai licences laukumu jūrā, kvalifikācijas prasības izsoles pretendentiem, izsoles saistību izpildes nodrošinājumu, atļaujas vai licences apturēšanas un atcelšanas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vārdiem un skaitļa "par 30 gadiem" ar vārdiem un skaitli "izņemot atļauju vai licenci noteiktā atļaujas vai licences laukuma jūrā izmantošanai atjaunīgās elektroenerģijas ražošanai, kuru izsniedz uz laiku līdz 70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23-TA-2031</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23-TA-2031</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likumprojekts_(grozījumi)_23-TA-2031.docx</dc:title>
</cp:coreProperties>
</file>

<file path=docProps/custom.xml><?xml version="1.0" encoding="utf-8"?>
<Properties xmlns="http://schemas.openxmlformats.org/officeDocument/2006/custom-properties" xmlns:vt="http://schemas.openxmlformats.org/officeDocument/2006/docPropsVTypes"/>
</file>