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iznīcināto reproduktīvo produktu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reproduktīvo produktu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 = GVr ∗ n ∗ KK,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GVr – iznīcināto reproduktīvo produktu vērtība atbilstoši 1. tabulā norādītai cenai;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reproduktīvo produktu svars vai daudzums konkrētajā produkta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Reproduktīvā produkta v</w:t>
      </w:r>
      <w:r w:rsidR="00000000" w:rsidRPr="00000000" w:rsidDel="00000000">
        <w:rPr>
          <w:b w:val="1"/>
          <w:rtl w:val="0"/>
        </w:rPr>
        <w:t xml:space="preserve">ērtība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5"/>
        <w:gridCol w:w="3042"/>
        <w:gridCol w:w="5643"/>
        <w:tblGridChange w:id="0">
          <w:tblGrid>
            <w:gridCol w:w="505"/>
            <w:gridCol w:w="3042"/>
            <w:gridCol w:w="564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Reproduktīvo produktu veids un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Reproduktīvā produkta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Reproduktīvie produkti, kas tiek izņemti no aprites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Inkubējamās olas, kas tiek izņemtas no aprites mājputnu novietnē un iznīcinātas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grāmatvedības attaisnojuma dokumentā norādītajai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Vistu olu cena ir atbilstoši oficiālās statistikas iestādēs pieejamai pārtikas olu vidējai iepirkuma cenai iepriekšējā kalendārā gadā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Pīļu, zosu, tītaru un citu mājputnu (izņemot strausu un paipalu) olām – atbilstoši vistu pārtikas olu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Strausu un paipalu olu cenu aprēķina atbilstoši šo noteikumu 1. pielikuma 10. punktā norādītajam.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Vidējo vistu olu cenu nosaka atbilstoši oficiālās statistikas iestādēs pieejamai vidējai iepirkuma cenai iepriekšējā kalendārā gadā.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Zemkopības ministrijas tīmekļvietnē.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noteikumu_(grozījumu)_projekts_p3_25-TA-435.docx</dc:title>
</cp:coreProperties>
</file>

<file path=docProps/custom.xml><?xml version="1.0" encoding="utf-8"?>
<Properties xmlns="http://schemas.openxmlformats.org/officeDocument/2006/custom-properties" xmlns:vt="http://schemas.openxmlformats.org/officeDocument/2006/docPropsVTypes"/>
</file>