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310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2026. gada 9. jūnijā (prot. Nr. 32 11.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2011. gada 3. maija noteikumos Nr. 333 "Kārtība, kādā plānojami un uzskaitāmi ieņēmumi no maksas pakalpojumiem un ar šo pakalpojumu sniegšanu saistītie izdevumi, kā arī maksas pakalpojumu izcenojumu noteikšanas metodika un izcenojumu apstiprināšanas kārtība"</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Likuma par budžetu un finanšu vadību</w:t>
      </w:r>
      <w:r w:rsidR="00000000" w:rsidRPr="00000000" w:rsidDel="00000000">
        <w:rPr>
          <w:rStyle w:val="paragraph"/>
          <w:i w:val="1"/>
          <w:rtl w:val="0"/>
        </w:rPr>
        <w:t xml:space="preserve"> 5.panta divpadsmito daļu</w:t>
      </w:r>
      <w:r>
        <w:br/>
      </w:r>
      <w:r w:rsidR="00000000" w:rsidRPr="00000000" w:rsidDel="00000000">
        <w:rPr>
          <w:rStyle w:val="paragraph"/>
          <w:i w:val="1"/>
          <w:rtl w:val="0"/>
        </w:rPr>
        <w:t xml:space="preserve">un </w:t>
      </w:r>
      <w:r w:rsidR="00000000" w:rsidRPr="00000000" w:rsidDel="00000000">
        <w:rPr>
          <w:rStyle w:val="paragraph"/>
          <w:i w:val="1"/>
          <w:rtl w:val="0"/>
        </w:rPr>
        <w:t xml:space="preserve">Publisko aģentūru likuma</w:t>
      </w:r>
      <w:r w:rsidR="00000000" w:rsidRPr="00000000" w:rsidDel="00000000">
        <w:rPr>
          <w:rStyle w:val="paragraph"/>
          <w:i w:val="1"/>
          <w:rtl w:val="0"/>
        </w:rPr>
        <w:t xml:space="preserve"> 5.panta otro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2011. gada 3. maija noteikumos Nr. 333 "Kārtība, kādā plānojami un uzskaitāmi ieņēmumi no maksas pakalpojumiem un ar šo pakalpojumu sniegšanu saistītie izdevumi, kā arī maksas pakalpojumu izcenojumu noteikšanas metodika un izcenojumu apstiprināšanas kārtība" (Latvijas Vēstnesis, 2011, 77. nr.; 2013, 183. nr.; 2015, 228.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1.1.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 kārtību, kādā plānojami un uzskaitāmi ieņēmumi no valsts budžeta iestāžu (turpmāk ‒ iestādes) sniegtajiem maksas pakalpojumiem un ar šo pakalpojumu sniegšanu saistītie izdevumi, kā arī maksas pakalpojumu izcenojumu noteikšanas metodiku;".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1.2.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 valsts aģentūru sniegto maksas pakalpojumu izcenojumu noteikšanas metodiku, īstenojot valsts pārvaldes uzdevumus, un izcenojumu apstiprināšanas kārtību."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Svītrot 2.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Izteikt 3.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Triju darbdienu laikā pēc attiecīgās iestādes vai valsts aģentūras sniegto maksas pakalpojumu cenrāža oficiālās publikācijas maksas pakalpojumu sniedzējs saskaņā ar normatīvajiem aktiem par pakalpojumu uzskaiti, kvalitātes kontroli un sniegšanas kārtību Valsts vienotajā reģistrā (VIRSIS) konkrētai maksas pakalpojuma kartītei pievieno cenrādi un tā izcenojumu aprēķinu (datnes) vai kartītē norāda saiti uz attiecīgās iestādes tīmekļvietni, kur publicēts cenrādis un tā izcenojuma aprēķins, tādējādi nodrošinot pieejamību centralizētajos pakalpojumu katalogos, tostarp latvija.gov.lv un business.gov.lv, savukārt savā vai ministrijas (citas centrālās valsts iestādes) tīmekļvietnē atbilstoši normatīvo aktu prasībām par informācijas ievietošanu internetā ietver saiti uz attiecīgo maksas pakalpojumu aprakstu pakalpojumu katalogā, informāciju par maksas pakalpojumu izcenojumu aprēķiniem un informāciju par maksāšanas līdzekļu atmaksas nosacījumiem, kas atbilst pakalpojuma sniegšanas specifikai."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Papildināt ar 3.</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1</w:t>
      </w:r>
      <w:r w:rsidR="00000000" w:rsidRPr="00000000" w:rsidDel="00000000">
        <w:rPr>
          <w:rtl w:val="0"/>
        </w:rPr>
        <w:t xml:space="preserve"> Ārlietu ministrijai nav saistošs šo noteikumu II nodaļas 8. punkts, kā arī III nodaļa attiecībā uz konsulāro maksas pakalpojumu izcenojumu noteikšanas metodiku. Konsulāro maksas pakalpojumu izcenojumu regulē normatīvie akti konsulāro pakalpojumu jomā."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Svītrot 4.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Svītrot 7.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Izteikt 9.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 Lai noteiktu maksas pakalpojuma izcenojumu, iestāde un valsts aģentūra katram maksas pakalpojuma veidam, pamatojoties uz šo noteikumu 1. pielikumu, izstrādā maksas pakalpojuma izcenojuma aprēķinu. Iestāde un valsts aģentūra ir atbildīga par aprēķina korektumu un atbilstību šai metodikai."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Izteikt 10.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 Maksas pakalpojuma izcenojums ietver visas izmaksas, kuras rodas, sniedzot maksas pakalpojumu, un to aprēķina, izmantojot šādu pamata formulu, ja speciālais regulējums neparedz citu izcenojuma noteikšanas kārtību, formulu var papildināt ar komponentiem, kas raksturīgi konkrētam pakalpojumam vai kas ir specifiski atrunāti citos normatīvajos aktos: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2"/>
          <w:numId w:val="1"/>
        </w:numPr>
        <w:ind w:left="0" w:hanging="0"/>
        <w:jc w:val="center"/>
        <w:contextualSpacing w:val="0"/>
        <w:spacing w:before="0"/>
        <w:rPr>
          <w:u w:val="none"/>
        </w:rPr>
      </w:pPr>
      <w:r w:rsidR="00000000" w:rsidRPr="00000000" w:rsidDel="00000000">
        <w:rPr>
          <w:rtl w:val="0"/>
        </w:rPr>
        <w:t xml:space="preserve"/>
      </w:r>
      <w:r w:rsidR="00000000" w:rsidRPr="00000000" w:rsidDel="00000000">
        <w:rPr>
          <w:rtl w:val="0"/>
        </w:rPr>
        <w:t xml:space="preserve">Imp = (Tizm + Nizm)/Vsk, kur</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Imp – viena sniegtā maksas pakalpojuma veida vienas vienības izcenojums;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Tizm – tiešās izmaksas jeb izmaksas, kas ir tieši attiecināmas uz maksas pakalpojuma sniegšanu. Šīs izmaksas parasti ietver maksas pakalpojuma sniegšanai izlietoto materiālu iegādes izmaksas un tiešos izdevumus atlīdzībai (tostarp darba devēja valsts sociālās apdrošināšanas obligātās iemaksas);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Nizm – netiešās izmaksas jeb izmaksas, kas ir netieši saistītas ar attiecīgā maksas pakalpojuma sniegšanu, piemēram, iestādes vadībā un administrācijā nodarbināto darbinieku un citu darbinieku atlīdzība (tostarp darba devēja valsts sociālās apdrošināšanas obligātās iemaksas), pamatlīdzekļu remonta un ekspluatācijas izdevumi, telpu apkures un apgaismošanas izdevumi, pamatlīdzekļu nolietojums, nomas maksa un apdrošināšanas maksājumi, vispārējas nozīmes palīgmateriāli un citi ar attiecīgā maksas pakalpojuma sniegšanu netieši saistīti izdevumi;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Vsk – plānotais maksas pakalpojuma vienību skaits noteiktā laikposmā."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Izteikt 11.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 Kritērijus izmaksu klasificēšanai tiešajās un netiešajās izmaksās, kā arī netiešo izmaksu attiecināšanai uz konkrēto maksas pakalpojuma veidu iestāde nosaka, pamatojoties uz maksas pakalpojuma un tā sniegšanas procesa specifiku. Izcenojuma noteikšanā ņem vērā konkrētā pakalpojuma sniegšanai saņemto atbalsta finansējumu (valsts, ārvalstu finanšu palīdzības sniedzēju vai citu finansējumu)."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Izteikt 14.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 Aprēķinot maksas pakalpojumu izcenojumus, tajos var paredzēt atvieglojumus un atbrīvojumus normatīvajos aktos un cenrādī noteiktajām mērķa grupām (piemēram, bērni, studenti, daudzbērnu ģimenes, pensionāri, personas, kurām noteikta invaliditāte, bez vecāku gādības palikuši bērni), tai skaitā lai nodrošinātu maksas pakalpojumu pieejamību."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Izteikt 15.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"15. Maksas pakalpojumu izcenojumu aprēķinā un maksas pakalpojumu cenrādī izcenojumu summas norāda </w:t>
      </w:r>
      <w:r w:rsidR="00000000" w:rsidRPr="00000000" w:rsidDel="00000000">
        <w:rPr>
          <w:i w:val="1"/>
          <w:rtl w:val="0"/>
        </w:rPr>
        <w:t xml:space="preserve">euro</w:t>
      </w:r>
      <w:r w:rsidR="00000000" w:rsidRPr="00000000" w:rsidDel="00000000">
        <w:rPr>
          <w:rtl w:val="0"/>
        </w:rPr>
        <w:t xml:space="preserve"> un centos. Maksas pakalpojumu cenrādī norāda summas bez PVN, PVN likmi un summu ar PVN saskaņā ar šo noteikumu 2. pielikumu. Šo noteikumu 2. pielikumā uzskaitīto informāciju var norādīt tiesību akta pamattekstā, ievērojot, ka ir nepieciešams norādīt cenu bez PVN, PVN likmi, un cenu ar PVN."</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Papildināt ar 15.</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vertAlign w:val="superscript"/>
          <w:rtl w:val="0"/>
        </w:rPr>
        <w:t xml:space="preserve">1</w:t>
      </w:r>
      <w:r w:rsidR="00000000" w:rsidRPr="00000000" w:rsidDel="00000000">
        <w:rPr>
          <w:rtl w:val="0"/>
        </w:rPr>
        <w:t xml:space="preserve"> Maksas pakalpojumu izcenojuma aprēķinu pārskata, izdarot attiecīgos grozījumus maksas pakalpojumu cenrādī, šādos gadījumos: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vertAlign w:val="superscript"/>
          <w:rtl w:val="0"/>
        </w:rPr>
        <w:t xml:space="preserve">1</w:t>
      </w:r>
      <w:r w:rsidR="00000000" w:rsidRPr="00000000" w:rsidDel="00000000">
        <w:rPr>
          <w:rtl w:val="0"/>
        </w:rPr>
        <w:t xml:space="preserve">1. ir izdarīti grozījumi normatīvajos aktos vai mainījušies apstākļi, kas ietekmē iestādes vai valsts aģentūras sniedzamo maksas pakalpojumu klāstu;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vertAlign w:val="superscript"/>
          <w:rtl w:val="0"/>
        </w:rPr>
        <w:t xml:space="preserve">1</w:t>
      </w:r>
      <w:r w:rsidR="00000000" w:rsidRPr="00000000" w:rsidDel="00000000">
        <w:rPr>
          <w:rtl w:val="0"/>
        </w:rPr>
        <w:t xml:space="preserve">2. ir būtiski mainījušās (samazinājušās vai palielinājušās) tiešās vai netiešās izmaksas, kuras veido maksas pakalpojumu izcenojumus;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vertAlign w:val="superscript"/>
          <w:rtl w:val="0"/>
        </w:rPr>
        <w:t xml:space="preserve">1</w:t>
      </w:r>
      <w:r w:rsidR="00000000" w:rsidRPr="00000000" w:rsidDel="00000000">
        <w:rPr>
          <w:rtl w:val="0"/>
        </w:rPr>
        <w:t xml:space="preserve">3. ir mainījies plānoto maksas pakalpojumu vienību skaits noteiktā laikposmā, un tas būtiski ietekmē vienas pakalpojuma vienības sniegšanas izmaksas."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Papildināt ar 15.</w:t>
      </w:r>
      <w:r w:rsidR="00000000" w:rsidRPr="00000000" w:rsidDel="00000000">
        <w:rPr>
          <w:vertAlign w:val="superscript"/>
          <w:rtl w:val="0"/>
        </w:rPr>
        <w:t xml:space="preserve">2</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vertAlign w:val="superscript"/>
          <w:rtl w:val="0"/>
        </w:rPr>
        <w:t xml:space="preserve">2</w:t>
      </w:r>
      <w:r w:rsidR="00000000" w:rsidRPr="00000000" w:rsidDel="00000000">
        <w:rPr>
          <w:rtl w:val="0"/>
        </w:rPr>
        <w:t xml:space="preserve"> Ja tiek veiktas izmaiņas nodokļu likmēs, iestāde vai aģentūra nekavējoties nodrošina attiecīgas informācijas publicēšanu šo noteikumu 3. punktā minētajās tīmekļvietnēs, bet nodokļa likme maksas pakalpojumu cenrādī tiek koriģēta saprātīgā termiņā vai tad, ja attiecīgajā cenrādī tiek veikti grozījumi pēc būtības."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Svītrot IV nodaļu.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Svītrot 20.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Svītrot 23.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Svītrot 24.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Papildināt ar 25.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"25. Informāciju par maksas pakalpojumu cenrāžiem, par kuriem informācija nav ievietota Valsts vienotajā reģistrā (VIRSIS) un iestāžu tīmekļvietnēs, iestādes un valsts aģentūras pievieno šo noteikumu 3. punktā noteiktajā kārtībā un publicē līdz 2026. gada 31. jūlijam."</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prezidenta pienākumu izpildītājs ‒ finanšu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M. Kučinskis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Finanšu ministra vietā - viedās administrācijas un reģionālās attīstības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Tavars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25-TA-3077</w:t>
    </w:r>
    <w:r>
      <w:br/>
    </w:r>
    <w:r w:rsidR="00000000" w:rsidRPr="00000000" w:rsidDel="00000000">
      <w:rPr>
        <w:rtl w:val="0"/>
      </w:rPr>
      <w:t xml:space="preserve">Izdrukāts 29.07.2026. 22.58 - 1.0.VK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25-TA-3077</w:t>
    </w:r>
    <w:r>
      <w:br/>
    </w:r>
    <w:r w:rsidR="00000000" w:rsidRPr="00000000" w:rsidDel="00000000">
      <w:rPr>
        <w:rtl w:val="0"/>
      </w:rPr>
      <w:t xml:space="preserve">Izdrukāts 29.07.2026. 22.58 - 1.0.VK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noteikumu_(grozījumu)_projekts_25-TA-3077.docx</dc:title>
</cp:coreProperties>
</file>

<file path=docProps/custom.xml><?xml version="1.0" encoding="utf-8"?>
<Properties xmlns="http://schemas.openxmlformats.org/officeDocument/2006/custom-properties" xmlns:vt="http://schemas.openxmlformats.org/officeDocument/2006/docPropsVTypes"/>
</file>