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Gaisa aizsardzības likums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Vispārīgie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Likumā lietotie termini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Likumā ir lietoti šādi termini: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b w:val="1"/>
          <w:rtl w:val="0"/>
        </w:rPr>
        <w:t xml:space="preserve">antropogēnā emisija</w:t>
      </w:r>
      <w:r w:rsidR="00000000" w:rsidRPr="00000000" w:rsidDel="00000000">
        <w:rPr>
          <w:rtl w:val="0"/>
        </w:rPr>
        <w:t xml:space="preserve"> - cilvēku radīta gaisu piesārņojošo vielu emisija atmosfērā;</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b w:val="1"/>
          <w:rtl w:val="0"/>
        </w:rPr>
        <w:t xml:space="preserve">apkures iekārtas </w:t>
      </w:r>
      <w:r w:rsidR="00000000" w:rsidRPr="00000000" w:rsidDel="00000000">
        <w:rPr>
          <w:rtl w:val="0"/>
        </w:rPr>
        <w:t xml:space="preserve"> - individuālās un lokālās siltumapgādes iekārtas, kas tiek izmantotas mājoklī, kurā dzīvo viena vai vairākas personas, un apkures iekārtas, ko izmanto publiskajās ēkās un uzņēmumos, izņemot iekārtas, kas tiek regulētas Piesārņojošo darbību likuma ietvaros. Par apkures iekārtu uzskata arī plīti, kur iekārtas apkures funkcija ir apvienota ar ēdiena gatavošanai paredzētu plītsvirsmu vai cepeškrāsni, vai abām, un kurai ir vajadzīgs dūmvads sadegšanas produktu novadīšanai.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b w:val="1"/>
          <w:rtl w:val="0"/>
        </w:rPr>
        <w:t xml:space="preserve">bezemisiju zona</w:t>
      </w:r>
      <w:r w:rsidR="00000000" w:rsidRPr="00000000" w:rsidDel="00000000">
        <w:rPr>
          <w:rtl w:val="0"/>
        </w:rPr>
        <w:t xml:space="preserve"> - </w:t>
      </w:r>
      <w:r w:rsidR="00000000" w:rsidRPr="00000000" w:rsidDel="00000000">
        <w:rPr>
          <w:b w:val="1"/>
          <w:rtl w:val="0"/>
        </w:rPr>
        <w:t xml:space="preserve"> </w:t>
      </w:r>
      <w:r w:rsidR="00000000" w:rsidRPr="00000000" w:rsidDel="00000000">
        <w:rPr>
          <w:rtl w:val="0"/>
        </w:rPr>
        <w:t xml:space="preserve">teritorija, kas noteikta ar mērķi samazināt transporta radīto negatīvo ietekmi uz sabiedrības veselību un vidi un kurā tiek atļauta tikai tādu vieglo pasažieru automobiļu, mikroautobusu un vieglo komerciālo transportlīdzekļu iebraukšana, kuriem nav iekšdedzes motors, kā arī tādu lielas noslodzes bezemisiju transportlīdzekļu iebraukšana, kas definēti Eiropas Parlamenta un Padomes 2019. gada 20. jūnija Regulas (ES) 2019/1242 3. panta 11. punktā.</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b w:val="1"/>
          <w:rtl w:val="0"/>
        </w:rPr>
        <w:t xml:space="preserve">emisija </w:t>
      </w:r>
      <w:r w:rsidR="00000000" w:rsidRPr="00000000" w:rsidDel="00000000">
        <w:rPr>
          <w:rtl w:val="0"/>
        </w:rPr>
        <w:t xml:space="preserve">- gaisu piesārņojošās vielas izdalīšanās atmosfērā no punktveida vai difūzā piesārņojuma avota;</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b w:val="1"/>
          <w:rtl w:val="0"/>
        </w:rPr>
        <w:t xml:space="preserve">gaisa kvalitātes novērtēšana</w:t>
      </w:r>
      <w:r w:rsidR="00000000" w:rsidRPr="00000000" w:rsidDel="00000000">
        <w:rPr>
          <w:rtl w:val="0"/>
        </w:rPr>
        <w:t xml:space="preserve"> –</w:t>
      </w:r>
      <w:r w:rsidR="00000000" w:rsidRPr="00000000" w:rsidDel="00000000">
        <w:rPr>
          <w:b w:val="1"/>
          <w:rtl w:val="0"/>
        </w:rPr>
        <w:t xml:space="preserve"> </w:t>
      </w:r>
      <w:r w:rsidR="00000000" w:rsidRPr="00000000" w:rsidDel="00000000">
        <w:rPr>
          <w:rtl w:val="0"/>
        </w:rPr>
        <w:t xml:space="preserve">jebkurš paņēmiens, ko lieto, lai mērītu, aprēķinātu, prognozētu vai novērtētu gaisa piesārņojuma līmeni;  </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b w:val="1"/>
          <w:rtl w:val="0"/>
        </w:rPr>
        <w:t xml:space="preserve">gaisa kvalitātes monitoringa stacija - </w:t>
      </w:r>
      <w:r w:rsidR="00000000" w:rsidRPr="00000000" w:rsidDel="00000000">
        <w:rPr>
          <w:rtl w:val="0"/>
        </w:rPr>
        <w:t xml:space="preserve">vieta, kurā ar tehnisko iekārtu palīdzību veic sistemātiskus, ilgtermiņa gaisa piesārņojuma līmeņa mērījumus, lai noteiktu gaisa piesārņojuma līmeni noteiktā teritorijā;</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b w:val="1"/>
          <w:rtl w:val="0"/>
        </w:rPr>
        <w:t xml:space="preserve">gaisa piesārņojums </w:t>
      </w:r>
      <w:r w:rsidR="00000000" w:rsidRPr="00000000" w:rsidDel="00000000">
        <w:rPr>
          <w:rtl w:val="0"/>
        </w:rPr>
        <w:t xml:space="preserve">— emisija, kam var būt kaitīga ietekme uz cilvēku veselību, vidi vai, kas var radīt kaitējumu īpašumam; </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b w:val="1"/>
          <w:rtl w:val="0"/>
        </w:rPr>
        <w:t xml:space="preserve">gaisa piesārņojuma līmenis</w:t>
      </w:r>
      <w:r w:rsidR="00000000" w:rsidRPr="00000000" w:rsidDel="00000000">
        <w:rPr>
          <w:rtl w:val="0"/>
        </w:rPr>
        <w:t xml:space="preserve"> - gaisu piesārņojošas vielas koncentrācija gaisā vai gaisa piesārņojuma dēļ radušies piesārņojošas vielas nosēdumi uz virsmas noteiktā laikposmā; </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b w:val="1"/>
          <w:rtl w:val="0"/>
        </w:rPr>
        <w:t xml:space="preserve">gaisu piesārņojoša viela</w:t>
      </w:r>
      <w:r w:rsidR="00000000" w:rsidRPr="00000000" w:rsidDel="00000000">
        <w:rPr>
          <w:rtl w:val="0"/>
        </w:rPr>
        <w:t xml:space="preserve"> – gaisā esoša viela, kas var kaitīgi ietekmēt cilvēku veselību vai vidi vai, kas var radīt kaitējumu īpašumam. Siltumnīcefekta gāzes neuzskata par gaisu piesārņojošām vielām;  </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b w:val="1"/>
          <w:rtl w:val="0"/>
        </w:rPr>
        <w:t xml:space="preserve">gaiss </w:t>
      </w:r>
      <w:r w:rsidR="00000000" w:rsidRPr="00000000" w:rsidDel="00000000">
        <w:rPr>
          <w:rtl w:val="0"/>
        </w:rPr>
        <w:t xml:space="preserve">- ārtelpu gaiss troposfērā, kas neietver iekštelpu gaisu un gaisu darba vidē, kas nav regulāri pieejama sabiedrības locekļiem un uz kuru attiecas darba aizsardzības jomas normatīvie akti;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b w:val="1"/>
          <w:rtl w:val="0"/>
        </w:rPr>
        <w:t xml:space="preserve">references laboratorija</w:t>
      </w:r>
      <w:r w:rsidR="00000000" w:rsidRPr="00000000" w:rsidDel="00000000">
        <w:rPr>
          <w:rtl w:val="0"/>
        </w:rPr>
        <w:t xml:space="preserve"> -  laboratorija, kura ar šo likumu ir pilnvarota references laboratorijas funkciju gaisa kvalitātes novērtēšanas jomā veikšanai un kura ir akreditēta nacionālajā akreditācijas institūcijā atbilstoši normatīvajiem aktiem par atbilstības novērtēšanas institūciju novērtēšanu, akreditāciju un uzraudzību;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b w:val="1"/>
          <w:rtl w:val="0"/>
        </w:rPr>
        <w:t xml:space="preserve">sēra emisiju samazināšanas paņēmiens</w:t>
      </w:r>
      <w:r w:rsidR="00000000" w:rsidRPr="00000000" w:rsidDel="00000000">
        <w:rPr>
          <w:rtl w:val="0"/>
        </w:rPr>
        <w:t xml:space="preserve"> - jebkura iekārta, materiāls, ierīce, process vai aparatūra, ar ko paredzēts aprīkot kuģi, vai citāda procedūra, alternatīva degviela vai atbilstības metode, ko izmanto kā alternatīvu noteiktajām prasībām atbilstīgai flotes degvielai ar samazinātu sēra saturu un kas ir pārbaudāma, kvantificējama un īstenojama;</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b w:val="1"/>
          <w:rtl w:val="0"/>
        </w:rPr>
        <w:t xml:space="preserve">traucējoša smaka</w:t>
      </w:r>
      <w:r w:rsidR="00000000" w:rsidRPr="00000000" w:rsidDel="00000000">
        <w:rPr>
          <w:rtl w:val="0"/>
        </w:rPr>
        <w:t xml:space="preserve"> - tāda smaka, kas negatīvi ietekmē cilvēka labsajūtu.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b w:val="1"/>
          <w:rtl w:val="0"/>
        </w:rPr>
        <w:t xml:space="preserve">valsts monitoringa tīkls</w:t>
      </w:r>
      <w:r w:rsidR="00000000" w:rsidRPr="00000000" w:rsidDel="00000000">
        <w:rPr>
          <w:rtl w:val="0"/>
        </w:rPr>
        <w:t xml:space="preserve"> – gaisa kvalitātes monitoringa stacijas, kuras izvietotas visā valsts teritorijā, lai noteiktu esošo gaisa kvalitāti un vai tās atbilstību noteiktajiem gaisa kvalitātes normatīviem, uzlabošanas mērķiem un novērtēšanas rādītājiem, kā arī sniegtu sabiedrībai, kā arī starptautiskajām sadarbības organizācijām ticamu un reprezentatīvu informāciju par gaisa kvalitāti Latvijā.</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b w:val="1"/>
          <w:rtl w:val="0"/>
        </w:rPr>
        <w:t xml:space="preserve">zemo emisiju zona </w:t>
      </w:r>
      <w:r w:rsidR="00000000" w:rsidRPr="00000000" w:rsidDel="00000000">
        <w:rPr>
          <w:rtl w:val="0"/>
        </w:rPr>
        <w:t xml:space="preserve">- teritorija, kas noteikta ar mērķi samazināt transportlīdzekļu radīto negatīvo ietekmi uz sabiedrības veselību un vidi un kurā aizliedz vai ierobežo tādu transportlīdzekļu iebraukšanu, kas atbilst "EURO 5" vai zemākai emisiju klasei.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Likuma mērķis ir aizsargāt vidi un cilvēku veselību no gaisa piesārņojuma un traucējošu smaku negatīvās ietekmes.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darbības joma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Likums nosaka: </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gaisa piesārņojuma samazināšanas mērķus un rīcības dažādu avotu radītā gaisa piesārņojuma novēršanai, ierobežošanai un samazināšanai;</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iesaistīto institūciju atbildību un pienākumus vides un cilvēku veselības aizsardzībai no gaisa piesārņojuma un traucējošu smaku negatīvās ietekmes;</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prasības gaisa kvalitātes novērtēšanas un gaisu piesārņojošo vielu emisiju uzskaites veikšanai;</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traucējošu smaku novērtēšanai un ierobežošanai;</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prasības šajā likumā minētās informācijas sagatavošanai un publiskošanai.</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Likums neattiecas uz siltumnīcefekta gāzu emisiju ierobežošanu, iekštelpu gaisa kvalitāti, kā arī gaisa kvalitāti darba vidē, kas nav regulāri pieejama sabiedrības locekļiem un kuru regulē normatīvie akti darba aizsardzības jomā.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Gaisa kvalitātes novērtēšana un emisiju uzskaite</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Gaisa kvalitātes pārvaldības teritorijas </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Gaisa kvalitātes atbilstību cilvēka veselības aizsardzībai noteiktajiem gaisa kvalitātes normatīviem</w:t>
      </w:r>
      <w:r w:rsidR="00000000" w:rsidRPr="00000000" w:rsidDel="00000000">
        <w:rPr>
          <w:i w:val="1"/>
          <w:rtl w:val="0"/>
        </w:rPr>
        <w:t xml:space="preserve"> </w:t>
      </w:r>
      <w:r w:rsidR="00000000" w:rsidRPr="00000000" w:rsidDel="00000000">
        <w:rPr>
          <w:rtl w:val="0"/>
        </w:rPr>
        <w:t xml:space="preserve">pārbauda teritorijās, kuras sabiedrībai ir pieejamas un kuru tuvumā atrodas arī pastāvīgas dzīvesvietas vai publiskās ēkas. Gaisa piesārņojuma līmeni nevērtē rūpnīcu teritorijās vai rūpnieciskajos objektos, uz kuriem attiecas normatīvie akti darba aizsardzības jomā, uz ceļu brauktuvēm, kā arī uz ceļu sadalošajām joslām, kur nav paredzēta regulāra gājēju vai velosipēdistu piekļuve.</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novērtētu gaisa kvalitāti un nodrošinātu tās pārvaldību, Klimata un enerģētikas ministrija valsts teritoriju iedala gaisa kvalitātes pārvaldības teritorijās, kuras nosaka ar klimata un enerģētikas ministra rīkojumu. Rīkojumā iekļauj informāciju par valsts monitoringa tīklā esošajām gaisa kvalitātes monitoringa stacijām un to izvietojumu gaisa kvalitātes pārvaldības teritorijās. Šo staciju novietojumu var mainīt vai šo staciju darbību pārtraukt tikai veicot izmaiņas rīkojumā. </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sabiedrība ar ierobežotu atbildību "Latvijas Vides, ģeoloģijas un meteoroloģijas centrs" (turpmāk – Centrs) reizi piecos gados veic gaisa kvalitātes novērtējumu šā panta otrajā daļā noteiktajās gaisa kvalitātes pārvaldības teritorijās vai biežāk, ja ir notikušas būtiskas gaisa piesārņojuma līmeņa izmaiņas. Pamatojoties uz veikto novērtējumu Centrs nepieciešamības gadījumā rosina Klimata un enerģētikas ministrijai veikt izmaiņas esošajā gaisa kvalitātes pārvaldības teritoriju iedalījumā.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Klimata un enerģētikas ministrija viena mēneša laikā no Centra sagatavotā gaisa kvalitātes novērtējuma publiskošanas savā oficiālajā tīmekļvietnē veic izmaiņas šī panta otrajā daļā minētajā rīkojumā, ja atbilstoši Centra veiktajam gaisa kvalitātes novērtējumam konstatētas būtiskas gaisa kvalitātes izmaiņas kādā Latvijas teritorijas daļā.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Gaisa kvalitātes novērtēšana</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Gaisa kvalitātes novērtējumu veic, lai:</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noteiktu, kāda ir esošā gaisa kvalitāte un vai tā atbilst noteiktajiem gaisa kvalitātes normatīviem, mērķiem un citiem gaisa kvalitātes rādītājiem;</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iegūtu informāciju par piesārņojuma avotu ietekmi uz gaisa kvalitāti; </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identificētu piesārņojuma avotu ietekmes būtiskumu, mērogu un noskaidrotu cēloņus, kas traucē sasniegt gaisa kvalitātes normatīvus;</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sniegtu sabiedrībai, starptautiskajām sadarbības organizācijām un Eiropas Komisijai ticamu un reprezentatīvu informāciju par gaisa kvalitāti Latvijā.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nosaka novērtējamās gaisu piesārņojošās vielas, gaisa kvalitātes novērtēšanas paņēmienus un mērījumu metodes, novērtējuma veikšanas biežumu, kritērijus gaisa kvalitātes monitoringa staciju skaitam un atrašanās vietas izvēlei, kā arī citas prasības, kas jāievēro veicot gaisa kvalitātes novērtēšanu.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monitoringa tīkls</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Centrs pilda references laboratorijas funkcijas gaisa kvalitātes novērtēšanas jomā un ir atbildīgs par:</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monitoringa tīkla izveidi un uzturēšanu;</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gaisa kvalitātes novērtēšanu izveidotajā valsts monitoringa tīklā; </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monitoringa tīklā lietojamo mērījumu sistēmu apstiprināšanu;</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novērtējuma metožu analīzi un izmantoto metožu līdzvērtīguma pierādīšanas procesu organizēšanu; </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mērījumu precizitātes nodrošināšanu; </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sadarbības nodrošināšanu ar Eiropas Komisijas izveidoto Nacionālo references laboratoriju Eiropas tīklu un Kopīgo pētniecības centru, kā arī Eiropas Savienības mēroga kvalitātes nodrošināšanas programmu koordināciju Latvijā;</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Eiropas Savienības mēroga kvalitātes nodrošināšanas programmu koordināciju Latvijā.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Centrs nodrošina, ka valsts monitoringa tīklā iekļautajās gaisa kvalitātes monitoringa stacijās mērījumus veic akreditēta laboratorija, kas ir akreditēta attiecībā uz mērījumu metodēm gaisa piesārņojošajām vielām, kurām tas noteikts atbilstoši šī likuma 5.panta otrajā daļā noteiktajai kārtībai.</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kabinets nosaka prasības, kas jāievēro references laboratorijai, veicot gaisa kvalitātes mērījumus valsts monitoringa tīklā esošajās gaisa kvalitātes monitoringa stacijās un pildot pārējās references laboratorijai noteiktās funkcijas.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Pašvaldību, valsts iestāžu un operatoru veiktie mērījumi</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un pašvaldības iestādes, kā arī operatori var veikt gaisa kvalitātes līmeņa mērījumus, kas papildina valsts monitoringa tīklā veiktos mērījumus.</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publiskotu sabiedrībai gaisa kvalitātes mērījumu rezultātus, kā arī tos izmantotu gaisa aizsardzības normatīvo aktu prasību izpildes uzraudzībai un kontrolei vai pašvaldību gaisa kvalitātes plānu izstrādei, ja šāda kompetence iestādei vai operatoram noteikta gaisa kvalitātes vai piesārņojuma novēršanas jomas normatīvajos aktos, valsts un pašvaldības iestādes vai operators mērījumus veic laboratorijā, kas ir akreditēta atbilstoši normatīvajiem aktiem par atbilstības novērtēšanas institūciju novērtēšanu, akreditāciju un uzraudzību, kā arī ievēro gaisa aizsardzības normatīvajos aktos noteiktās prasības attiecībā uz gaisa kvalitātes monitoringa veikšanu.</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un pašvaldību iestādes vai operators var veikt gaisa piesārņojuma līmeņa mērījumus, kas nav veikti atbilstoši gaisa aizsardzības normatīvajos aktos noteiktajām prasībām. Attiecīgā gadījumā, publiskojot iegūtos mērījumu rezultātus, norāda, ka tiem ir zema ticamības pakāpe. Šādā veidā iegūtos mērījumu rezultātus neizmanto gaisa aizsardzības normatīvajos aktos noteikto prasību izpildes uzraudzībai un kontrolei.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Gaisu piesārņojošo vielu emisiju aprēķini un prognozes</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Centrs,  valsts zinātniskais institūts "Fizikālās enerģētikas institūts", Latvijas Biozinātņu un tehnoloģiju universitāte, Latvijas Valsts mežzinātnes institūts "Silava", sadarbojoties ar Klimata un enerģētikas ministriju, Ekonomikas ministriju, Zemkopības ministriju un Satiksmes ministriju, veic valsts kopējo gaisu piesārņojošo vielu emisijas aprēķinu un prognožu izstrādi, kā arī novērtē gaisa piesārņojuma politikas ietekmi uz gaisu piesārņojošo vielu emisijām.</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nosaka:</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izveido un uztur valsts kopējo gaisu piesārņojošo vielu emisijas aprēķinu un prognožu sagatavošanas nacionālo sistēmu un atbildīgo iestāžu pienākumus emisiju ziņojumu un prognožu izstrādē;</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un aprēķinu metodes, kas jāņem vērā, sagatavojot emisijas aprēķinus un emisijas prognozes;</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uzdevumus, ko veic iestādes, kas ir atbildīgas par emisijas aprēķinu veikšanu;</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tiek novērtēta gaisa piesārņojuma ietekme uz ekosistēmām.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Gaisa aizsardzības mērķi un rīcības plāni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Gaisa piesārņojuma samazināšanas mērķi  </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Lai Latvijā kopumā samazinātu dažādu tautsaimniecības nozaru radītās antropogēnās emisijas, Ministru kabinets nosaka sēra dioksīda, slāpekļa oksīdu, gaistošo organisko savienojumu (izņemot metāna), amonjaka un daļiņu PM</w:t>
      </w:r>
      <w:r w:rsidR="00000000" w:rsidRPr="00000000" w:rsidDel="00000000">
        <w:rPr>
          <w:vertAlign w:val="subscript"/>
          <w:rtl w:val="0"/>
        </w:rPr>
        <w:t xml:space="preserve">2,5 </w:t>
      </w:r>
      <w:r w:rsidR="00000000" w:rsidRPr="00000000" w:rsidDel="00000000">
        <w:rPr>
          <w:rtl w:val="0"/>
        </w:rPr>
        <w:t xml:space="preserve">emisijas samazināšanas mērķus laikposmam līdz 2029. gadam un sākot ar 2030. gadu, kā arī gadījumus, kad var atkāpties no noteiktajiem emisijas samazināšanas mērķiem.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līmeņa gaisa piesārņojuma samazināšanas plāns</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nodrošinātu gaisa piesārņojuma samazināšanos un normatīvajos aktos noteikto antropogēno emisiju samazināšanas un gaisa kvalitātes uzlabošanas mērķu izpildi, Klimata un enerģētikas ministrija organizē valsts līmeņa gaisa piesārņojuma samazināšanas plāna izstrādi un koordinē tā īstenošanu. Šo plānu izstrādā sadarbībā ar Zemkopības ministriju, Ekonomikas ministriju, Satiksmes ministriju, Finanšu ministriju, Veselības ministriju, valstpilsētu pašvaldībām, kā arī citām iestādēm, ja to pieņemtajiem lēmumiem ir tieša vai pakārtota ietekme uz gaisu piesārņojošo vielu emisijām.</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līmeņa gaisa piesārņojuma samazināšanas plānu apstiprina Ministru kabinets. Klimata un enerģētikas ministrija to aktualizē reizi četros gados vai biežāk, ja nav izpildīti šī likuma </w:t>
      </w:r>
      <w:r w:rsidR="00000000" w:rsidRPr="00000000" w:rsidDel="00000000">
        <w:rPr>
          <w:rtl w:val="0"/>
        </w:rPr>
        <w:t xml:space="preserve">9.</w:t>
      </w:r>
      <w:r w:rsidR="00000000" w:rsidRPr="00000000" w:rsidDel="00000000">
        <w:rPr>
          <w:rtl w:val="0"/>
        </w:rPr>
        <w:t xml:space="preserve">pant</w:t>
      </w:r>
      <w:r w:rsidR="00000000" w:rsidRPr="00000000" w:rsidDel="00000000">
        <w:rPr>
          <w:rtl w:val="0"/>
        </w:rPr>
        <w:t xml:space="preserve">ā noteiktie emisiju samazināšanas mērķi vai pastāv risks, ka tie netiks izpildīti.</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īstenotu gaisa piesārņojuma samazināšanas plānā noteiktos pasākumus un nodrošinātu normatīvajos aktos noteikto emisiju samazināšanas un gaisa kvalitātes mērķu izpildi, Ministru kabinets nosaka papildu prasības dažādu tautsaimniecības nozaru radītā gaisa piesārņojuma ierobežošanai. Ministru kabinets papildu prasības nosaka, ja tiek pārsniegti šī likuma 9.pantā noteiktie gaisa piesārņojuma samazināšanas mērķi vai ir augsts risks tos pārsniegt.</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kabinets nosaka valsts līmeņa gaisa piesārņojuma samazināšanas plāna saturu, kā arī prasības, kas jāievēro veicot plāna izstrādi.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Gaisa kvalitātes normatīvi un citi rādītāji</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Gaisa kvalitātes normatīvus iedala gaisa kvalitātes robežlielumos un mērķlielumos. </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Gaisa kvalitātes robežlielums ir zinātniski pamatots gaisa piesārņojuma līmenis, kas noteikts, lai nepieļautu, novērstu vai mazinātu piesārņojuma kaitīgo iedarbību uz cilvēku veselību vai vidi, un kas jāsasniedz normatīvajos aktos noteiktā termiņā, un ko nedrīkst pārsniegt pēc šī termiņa.  </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Gaisa kvalitātes mērķlielums ir gaisa piesārņojuma līmenis, kuru pēc iespējas jānodrošina noteiktā termiņā, lai nepieļautu, novērstu vai samazinātu gaisu piesārņojošo vielu kaitīgo ietekmi uz cilvēku veselību vai vidi.  </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Trauksmes līmenis ir gaisa piesārņojuma līmenis, kura īslaicīga pārsniegšana apdraud cilvēku veselību un, kuru sasniedzot, veicami tūlītēji pasākumi.</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noteiktu pieļaujamo gaisa piesārņojuma līmeni, kā arī prasības attiecībā uz nepieciešamo mērījumu veikšanu un sabiedrības informēšanu, Ministru kabinets nosaka gaisa kvalitātes normatīvus, gaisa kvalitātes uzlabošanas mērķus un novērtēšanas rādītājus.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Gaisa kvalitātes pārvaldības pamatprincipi</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un pašvaldību iestādes īsteno pasākumus, lai teritorijās, kurās netiek pārsniegti gaisa kvalitātes normatīvi, tiktu saglabāts labākais iespējamais gaisa kvalitātes stāvoklis, kas atbilst ilgtspējīgai attīstībai.</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kādā teritorijā ir pārsniegti gaisa kvalitātes normatīvi, valsts un pašvaldību iestādes īsteno pasākumus, kas noteikti pašvaldības gaisa kvalitātes uzlabošanas plānā.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Pašvaldības ilgtermiņa gaisa kvalitātes uzlabošanas plāns</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 uz piecu gadu periodu izstrādā ilgtermiņa gaisa kvalitātes uzlabošanas plānu visai pašvaldības administratīvajai teritorijai vai tās daļai un īsteno tajā noteiktos pasākumus, ja atbilstoši Centra veiktajam gaisa kvalitātes novērtējumam pašvaldības teritorijā vai tās daļā kādai no gaisu piesārņojošajām vielām ir:</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pārsniegts gaisa kvalitātes normatīvs;</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pārsniegta augšējā piesārņojuma novērtēšanas sliekšņa pēdējo triju gadu perioda gada vidējā vērtība.</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 var brīvprātīgi izstrādāt ilgtermiņa gaisa kvalitātes uzlabošanas plānu arī gadījumos, ja netiek pārsniegti gaisa kvalitātes normatīvi un nepastāv risks tos pārsniegt nākotnē.</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ilgtermiņa gaisa kvalitātes plānā ietver tādus pasākumus, kuri nodrošina atbilstību noteiktajiem gaisa kvalitātes normatīviem pēc iespējas īsākā laikposmā vai labākā iespējamā gaisa kvalitātes stāvokļa saglabāšanu.</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Pašvaldība ilgtermiņa gaisa kvalitātes plānu pārskata ne retāk kā reizi piecos gados, ja tiek konstatēts kāds no zemāk minētajiem gadījumiem:</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plāna īstenošanas laikā vēl aizvien pastāv šī panta pirmajā daļā minētā situācija;</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plāns netiek īstenots atbilstoši noteiktajiem laika grafikiem vai ir pasliktinājusies esošā gaisa kvalitāte.</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Pašvaldības īstermiņa gaisa kvalitātes uzlabošanas plāns</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pašvaldības teritorijā gaisa piesārņojuma līmenis pārsniedz vai var pārsniegt trauksmes līmeni, pašvaldība izstrādā un īsteno īstermiņa gaisa kvalitātes uzlabošanas plānu. Ja nepieciešams plānu izstrādā arī gadījumos, kad tiek pārsniegts gaisa kvalitātes normatīvs. Ozonam noteiktā trauksmes līmeņa pārsniegšanas gadījumā,  šādu īstermiņa rīcības plānu izstrādā tikai tad, ja, ņemot vērā ģeogrāfiskos, meteoroloģiskos un ekonomiskos apstākļus pastāv ievērojams potenciāls novērst trauksmes līmeņa pārsniegumu vai samazināt tā pārsnieguma ilgumu un pakāpi. </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Plānu izstrādā uz noteiktu laika posmu līdz tiek novērsts trauksmes līmeņa vai attiecīgā gaisa kvalitātes normatīva pārsniegums.</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Plānā ietver neatliekamus pasākumus gaisa piesārņojuma samazināšanai un tajā var paredzēt pasākumus, lai kontrolētu vai nekavējoties, uz laiku, kad novērojams paaugstināts gaisa piesārņojums, pārtrauktu tādas darbības, kas palielina attiecīgā gaisa kvalitātes normatīva vai trauksmes līmeņa pārsniegšanas iespēju.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Pašvaldību gaisa kvalitātes uzlabošanas plānu izstrāde </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 izstrādā īstermiņa un ilgtermiņa gaisa kvalitātes uzlabošanas plānu sadarbībā ar Klimata un enerģētikas ministriju un citām iestādēm, kuras iesaistītas plāna īstenošanā. </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pašvaldības teritorijā gaisa piesārņojuma līmenis pārsniedz gaisa kvalitātes normatīvus, trauksmes līmeni vai ozonam noteikto ilgtermiņa mērķi un galvenais pārsnieguma iemesls ir saistīts ar gaisa piesārņojuma pārrobežu pārnesi no citas kaimiņos esošas valsts, pašvaldība plānu var izstrādāt kopīgi ar valsti, kuras teritorijā veiktās darbības rada būtisku gaisa piesārņojuma pārrobežu pārnesi uz Latvijas teritoriju. Klimata un enerģētikas ministrija iesaistās plāna izstrādē un saskaņošanā ar valsti, kuras teritorijā veiktās darbības rada būtisku gaisa piesārņojuma pārrobežu pārnesi uz Latvijas teritoriju.</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Blakus esošas pašvaldības var izstrādāt vienotu ilgtermiņa vai īstermiņa gaisa kvalitātes uzlabošanas plānu.</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pašvaldības teritorijā gaisa piesārņojuma līmenis pārsniedz gaisa kvalitātes normatīvus un galvenais pārsnieguma iemesls ir saistīts ar gaisa piesārņojuma pārnesi no citas kaimiņos esošas pašvaldības, plānu izstrādā kopīgi ar pašvaldību, kuras teritorijā veiktās darbības rada būtisku gaisa piesārņojuma pārnesi uz attiecīgās pašvaldības teritoriju.</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Īstermiņa un ilgtermiņa gaisa kvalitātes uzlabošanas plānu  apstiprina pašvaldības dome, pirms apstiprināšanas to saskaņojot ar Klimata un enerģētikas ministriju un citām iestādēm, kas iesaistītas plānā iekļauto pasākumu īstenošanā.</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izstrādātais īstermiņa un ilgtermiņa gaisa kvalitātes uzlabošanas plāns ietver pasākumus, kuru īstenošana nav pašvaldības kompetencē, šo pasākumu īstenošanu koordinē ministrija, kuras pārziņā ir attiecīgās nozares politikas izstrāde.</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Ministru kabinets nosaka pašvaldības ilgtermiņa gaisa kvalitātes uzlabošanas plāna saturu, plāna izstrādāšanas kārtību un kārtību, kādā sniedz pārskatu par plāna izpildi.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Dažādu darbību radītā gaisa piesārņojuma un traucējošu smaku samazināšana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Gaisa piesārņojuma un traucējošu smaku izvērtēšana teritorijas attīstības plānošanas procesā</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 izstrādājot teritorijas plānojumu, ņem vērā gaisa kvalitātes normatīvus, kā arī kompetento valsts iestāžu sniegto informāciju un nosacījumus.</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Teritorijās, kur tiek pārsniegti gaisa kvalitātes normatīvi vai kur pastāv risks tos pārsniegt, pašvaldība, izstrādājot teritorijas plānojumu, veic gaisa piesārņojuma izkliedes modelēšanu un novērtē paredzamās satiksmes intensitātes pieaugumu, ko nākotnē var radīt jauni transporta infrastruktūras objekti vai izmaiņas teritorijas atļautajos izmantošanas veidos.</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Teritorijās, kur tiek pārsniegti gaisa kvalitātes normatīvi vai kur pastāv risks tos pārsniegt, kā arī, kur jaunu objektu būvniecība var radīt smaku normatīva pārsniegumus, pašvaldība, izstrādājot teritorijas plānojumu:</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ierobežo tādu ražošanas uzņēmumu un tirdzniecības un pakalpojumu objektu izvietošanu, kas publiski pieejamās teritorijās var radīt vēl lielāku gaisa piesārņojumu un traucējošas smakas, vai šajās teritorijās nosaka papildus prasības vai ierobežojumus, lai maksimāli samazinātu esošu vai jaunu avotu radīto gaisa piesārņojumu un traucējošās smakas. </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ierobežo jaunu dzīvojamo ēku un publisko ēku izvietošanu.</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Pašvaldība var izņēmuma gadījumā pieņemt lēmumu atkāpties no šī panta 16. panta trešajā daļā noteikto prasību ievērošanas. Pašvaldība izņēmumus var paredzēt teritorijām un objektiem, kas nepieciešami būtisku sabiedrības interešu nodrošināšanai, dabas resursu aizsardzībai un ilgtspējīgai izmantošanai. Šādā gadījumā pašvaldība teritorijas plānojuma paskaidrojuma rakstā sniedz pamatojumu šāda izņēmuma noteikšanai.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Apkures iekārtu radītā gaisa piesārņojuma ierobežošana</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Apkures iekārtu radītā gaisa piesārņojuma samazināšanai un sabiedrības veselības uzlabošanai, pašvaldība var izdot saistošos noteikumus, kas pašvaldības administratīvajā teritorijā vai tās daļā:</w:t>
      </w:r>
    </w:p>
    <w:p w:rsidP="00000000" w:rsidRDefault="00000000" w:rsidR="00000000" w:rsidRPr="00000000" w:rsidDel="00000000">
      <w:pPr>
        <w:numPr>
          <w:ilvl w:val="1"/>
          <w:numId w:val="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ierobežo vai aizliedz apkures iekārtu uzstādīšanu un darbināšanu, kurās kā kurināmais tiek izmantota cietās biomasa, ogles vai kūdra;</w:t>
      </w:r>
    </w:p>
    <w:p w:rsidP="00000000" w:rsidRDefault="00000000" w:rsidR="00000000" w:rsidRPr="00000000" w:rsidDel="00000000">
      <w:pPr>
        <w:numPr>
          <w:ilvl w:val="1"/>
          <w:numId w:val="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fiziskām un juridiskām personām nosaka pienākumu sniegt informāciju par izmantotajām apkures iekārtām un tajās izmantoto energoresursu veidu un apjomu.</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Šajā pantā noteikto prasību izpildes kontroli veic pašvaldības vides kontroles amatpersona, pašvaldības vides inspekcija, pašvaldības būvvalde vai pašvaldības policija</w:t>
      </w:r>
      <w:r w:rsidR="00000000" w:rsidRPr="00000000" w:rsidDel="00000000">
        <w:rPr>
          <w:i w:val="1"/>
          <w:rtl w:val="0"/>
        </w:rPr>
        <w:t xml:space="preserve">.</w:t>
      </w:r>
      <w:r w:rsidR="00000000" w:rsidRPr="00000000" w:rsidDel="00000000">
        <w:rPr>
          <w:rtl w:val="0"/>
        </w:rPr>
        <w:t xml:space="preserve"> Pašvaldība saistošajos noteikumos nosaka kārtību, kādā tiek veikta apkures iekārtu kontrole un pilnvaro kompetento pašvaldības institūciju, kura ir atbildīga par saistošajos noteikumos noteikto prasību izpildes kontroli.</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Veicot šajā pantā noteikto prasību izpildes kontroli, pašvaldības pilnvarotā institūcija:</w:t>
      </w:r>
    </w:p>
    <w:p w:rsidP="00000000" w:rsidRDefault="00000000" w:rsidR="00000000" w:rsidRPr="00000000" w:rsidDel="00000000">
      <w:pPr>
        <w:numPr>
          <w:ilvl w:val="1"/>
          <w:numId w:val="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pārbauda uzstādīto apkures iekārtu atbilstību izdoto saistošo noteikumu prasībām;</w:t>
      </w:r>
    </w:p>
    <w:p w:rsidP="00000000" w:rsidRDefault="00000000" w:rsidR="00000000" w:rsidRPr="00000000" w:rsidDel="00000000">
      <w:pPr>
        <w:numPr>
          <w:ilvl w:val="1"/>
          <w:numId w:val="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pārbauda, kāds kurināmais tiek izmantots attiecīgajā apkures iekārtā un vai darbinātā iekārta atbilst saistošajos noteikumos izvirzītajām prasībām;</w:t>
      </w:r>
    </w:p>
    <w:p w:rsidP="00000000" w:rsidRDefault="00000000" w:rsidR="00000000" w:rsidRPr="00000000" w:rsidDel="00000000">
      <w:pPr>
        <w:numPr>
          <w:ilvl w:val="1"/>
          <w:numId w:val="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pārbauda vai ir saņemts saskaņojums attiecīgās apkures iekārtas uzstādīšanai, ja tāds ir nepieciešams atbilstoši pašvaldības saistošo noteikumu prasībām.</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Pašvaldības pilnvarotajai institūcijai, papildus Vides aizsardzības likumā noteiktajām tiesībām, ir tiesības:</w:t>
      </w:r>
    </w:p>
    <w:p w:rsidP="00000000" w:rsidRDefault="00000000" w:rsidR="00000000" w:rsidRPr="00000000" w:rsidDel="00000000">
      <w:pPr>
        <w:numPr>
          <w:ilvl w:val="1"/>
          <w:numId w:val="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laiku apturēt vai aizliegt veikt darbību, ar kuru tiek pārkāptas šajā pantā minēto saistošo noteikumu prasības un kā rezultātā tiek radītas negatīvas izmaiņas vidē vai kura apdraud cilvēku veselību vai dzīvību;</w:t>
      </w:r>
    </w:p>
    <w:p w:rsidP="00000000" w:rsidRDefault="00000000" w:rsidR="00000000" w:rsidRPr="00000000" w:rsidDel="00000000">
      <w:pPr>
        <w:numPr>
          <w:ilvl w:val="1"/>
          <w:numId w:val="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savas kompetences ietvaros izdot administratīvos aktus, kas nepieciešami šajā pantā minētajos saistošajos noteikumos noteikto prasību izpildes kontrolei.</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Pašvaldībai ir pienākums laikus informēt sabiedrību un tos iedzīvotājus, kuru dzīvesvieta ir deklarēta pašvaldības administratīvajā teritorijā un kurus tieši ietekmē paredzētās izmaiņas par saistošajos noteikumos paredzētajām prasībām un to spēkā stāšanās termiņiem.</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Pašvaldības, pieņemot šajā pantā minētos saistošos noteikumus, attiecībā uz esošajām apkures iekārtām paredz vismaz vienu gadu garu pārejas periodu.</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Pašvaldība pirms šajā pantā minēto saistošo noteikumu izsludināšanas Pašvaldību likumā noteiktajā kārtībā nosūta tos atzinuma sniegšanai Klimata un enerģētikas ministrijai.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Transporta radītā gaisa piesārņojuma samazināšana</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atbilstoši Centra veiktajam gaisa kvalitātes novērtējumam pašvaldības teritorijā vai tās daļā kādai no gaisu piesārņojošajām vielām ir pārsniegts gaisa kvalitātes robežlielums vai augšējā piesārņojuma novērtēšanas sliekšņa pēdējo triju gadu perioda gada vidējā vērtība un galvenais pārsniegšanas iemesls saistīts ar transporta radīto gaisa piesārņojumu, pašvaldība ne vēlāk kā divu gadu laikā no pārsnieguma konstatēšanas savā administratīvajā teritorijā vai tās daļā veic vienu vai vairākus no zemāk minētajiem pasākumiem:</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nosaka ielu nodevu atbilstoši ceļu nodevas regulējošajiem normatīvajiem aktiem;</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 zemo emisiju zonu, kurā ierobežo tādu transportlīdzekļu iebraukšanu, kas atbilst "EURO 5" vai zemākai emisiju klasei.</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izveido bezemisiju zonu.</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Lai izveidotu zemo emisiju zonu vai bezemisiju zonu, pašvaldība saistošajos noteikumos nosaka:</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teritoriju, kurā izveido zemo emisiju zonu vai bezemisiju zonu;</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kādas emisiju klases transportlīdzekļu iebraukšana zemo emisiju zonā tiek aizliegta vai ierobežota;</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veic iebraucošo transportlīdzekļu kontroli;</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administrē atvieglojumus un atbrīvojumus.</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kompetento pašvaldības institūciju vai amatpersonu, kura ir atbildīga par saistošajos noteikumos noteikto prasību izpildes kontroli.</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 saistošajos noteikumos var noteikt atvieglojumus un atbrīvojumus no pašvaldības saistošajos noteikumos noteiktajām prasībām attiecībā uz aizliegumu zemo emisiju zonā un bezemisiju zonā iebraukt noteiktiem transportlīdzekļiem.</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Pašvaldība nepiemēro ielu nodevu atbilstoši ceļu nodevu regulējošajiem normatīvajiem aktiem tiem transportlīdzekļiem, kuriem atbilstoši pašvaldību saistošajiem noteikumiem tiek atļauta iebraukšanas zemo emisiju zonā vai bezemisiju zonā.</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Pašvaldība izstrādā ilgtermiņa gaisa kvalitātes uzlabošanas plānu, kurā pamato, ka šī panta pirmajā daļā minētās zemo emisiju zonas, bezemisiju zonas izveide vai ielu nodevas noteikšana konkrētās pašvaldības teritorijā palīdzēs atrisināt gaisa kvalitātes problēmas.</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Zemo emisiju zonas un bezemisiju zonas administrēšanas un transportlīdzekļu iebraukšanas kontroles nodrošināšanai pašvaldība bez maksas var  izmantot datus no šādām valsts un pašvaldības informācijas sistēmām:</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transportlīdzekļu un to vadītāju valsts reģistra;</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Invaliditātes informatīvās sistēmas;</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Uzņēmumu reģistra informācijas sistēmas;</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Fizisko personu reģistra;</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izglītības informācijas sistēmas.</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sabiedrības ar ierobežotu atbildību "Autotransporta direkcija" pārziņā esošās informācijas sistēmas;</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Pašvaldība pirms šajā pantā minēto saistošo noteikumu izsludināšanas Pašvaldību likumā noteiktajā kārtībā nosūta tos atzinuma sniegšanai Klimata un enerģētikas ministrijai un Satiksmes ministrijai.</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Šajā pantā noteikto prasību izpildes kontroli veic pašvaldības.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Traucējošu smaku ierobežošana</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nosaka smaku normatīvu un citas prasības traucējošo smaku ierobežošanai, traucējošu smaku kontroles kārtību un šo smaku noteikšanas metodes.</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ierobežotu dažādu darbību radīto traucējošo smaku izplatīšanos, pašvaldība var izdot saistošos noteikumus, kas noteiktās teritorijās nosaka stingrākas prasības smaku monitoringa veikšanai, kā arī papildu pasākumu īstenošanu traucējošo smaku ierobežošanai.</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 pirms šā panta otrajā daļā minēto saistošo noteikumu izsludināšanas Pašvaldību likumā noteiktajā kārtībā nosūta tos atzinuma sniegšanai Klimata un enerģētikas ministrijai.</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Šī panta pirmajā un otrajā daļā minēto noteikumu izpildes kontroli un administratīvo sodu piemērošanu Valsts vides dienests veic atbilstoši Piesārņojošo darbību likumam. Lai īstenotu šī panta pirmajā un otrajā daļā minēto noteikumu izpildes kontroli, Valsts vides dienestam ir tiesības veikt smaku mērījumus, izmantojot indikatīvās novērtēšanas metodes.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Emisiju ierobežošana no krāsām, lakām un transportlīdzekļu galīgās apdares materiāliem</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Krāsu un laku ražotājs vai importētājs nodrošina, ka krāsas un lakas, kas tiek laistas tirgū ir marķētas atbilstoši šī panta trešajā daļā minētajiem Ministru kabineta noteikumiem.</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Jebkura persona, kas laiž tirgū krāsas, lakas un transportlīdzekļu galīgās apdares materiālus (turpmāk – krāsas un lakas) nodrošina, ka šajos produktos netiek pārsniegts noteiktais pieļaujamais gaistošo organisko savienojumu saturs.</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kabinets nosaka:</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pieļaujamo gaistošo organisko savienojumu saturu krāsās un lakās un citas prasības gaistošo organisko savienojumu emisiju ierobežošanai, gaistošo organisko savienojumu noteikšanas metodes un prasības krāsu un laku marķējumam; </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krāsu un laku veidus, uz kuriem attiecas noteiktās prasības gaistošo organisko savienojumu ierobežošanai.</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 drīkst laist tirgū un pircējs drīkst iegādāties un</w:t>
      </w:r>
      <w:r w:rsidR="00000000" w:rsidRPr="00000000" w:rsidDel="00000000">
        <w:rPr>
          <w:color w:val="#3498db"/>
          <w:rtl w:val="0"/>
        </w:rPr>
        <w:t xml:space="preserve"> </w:t>
      </w:r>
      <w:r w:rsidR="00000000" w:rsidRPr="00000000" w:rsidDel="00000000">
        <w:rPr>
          <w:rtl w:val="0"/>
        </w:rPr>
        <w:t xml:space="preserve">lietot</w:t>
      </w:r>
      <w:r w:rsidR="00000000" w:rsidRPr="00000000" w:rsidDel="00000000">
        <w:rPr>
          <w:color w:val="#3498db"/>
          <w:rtl w:val="0"/>
        </w:rPr>
        <w:t xml:space="preserve"> </w:t>
      </w:r>
      <w:r w:rsidR="00000000" w:rsidRPr="00000000" w:rsidDel="00000000">
        <w:rPr>
          <w:rtl w:val="0"/>
        </w:rPr>
        <w:t xml:space="preserve">krāsas un lakas, kas pārsniedz Ministru kabineta atļauto gaistošo organisko savienojumu saturu, ja attiecīgās krāsas un lakas nepieciešamas, lai atjaunotu vēsturiska spēkrata pārklājumu vai restaurētu, atjaunotu vai uzturētu valsts aizsargājamu arhitektūras un mākslas pieminekli. Šādā gadījumā personai, kas krāsas un lakas laiž tirgū un pircējam ir jāsaņem licenci tādu krāsu un laku tirdzniecībai vai iegādei, kuru sastāvā ir paaugstināts organisko šķīdinātāju saturs (turpmāk – licence).</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saņemtu licenci,</w:t>
      </w:r>
      <w:r w:rsidR="00000000" w:rsidRPr="00000000" w:rsidDel="00000000">
        <w:rPr>
          <w:color w:val="#3498db"/>
          <w:rtl w:val="0"/>
        </w:rPr>
        <w:t xml:space="preserve"> </w:t>
      </w:r>
      <w:r w:rsidR="00000000" w:rsidRPr="00000000" w:rsidDel="00000000">
        <w:rPr>
          <w:rtl w:val="0"/>
        </w:rPr>
        <w:t xml:space="preserve">persona, kas krāsas un lakas laiž tirgū un šo produktu</w:t>
      </w:r>
      <w:r w:rsidR="00000000" w:rsidRPr="00000000" w:rsidDel="00000000">
        <w:rPr>
          <w:color w:val="#3498db"/>
          <w:rtl w:val="0"/>
        </w:rPr>
        <w:t xml:space="preserve"> </w:t>
      </w:r>
      <w:r w:rsidR="00000000" w:rsidRPr="00000000" w:rsidDel="00000000">
        <w:rPr>
          <w:rtl w:val="0"/>
        </w:rPr>
        <w:t xml:space="preserve">pircējs iesniedz iesniegumu Valsts vides dienesta informācijas sistēmā, izmantojot speciālu tiešsaistes formu. Licenci izsniedz Valsts vides dienests noteikta apjoma krāsu un laku tirdzniecībai un iegādei.</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Ministru kabinets nosaka:</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iesniedz iesniegumu licences saņemšanai, licences iesniegumā iekļaujamo informāciju;</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licences izsniegšanai un prasības par licences anulēšanu;</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iestādes, kas izsniedz apliecinājumu par objekta atbilstību vēsturiskā spēkrata vai valsts aizsargājama arhitektūras un mākslas pieminekļa statusam un kārtību, kādā notiek šī apliecinājuma saņemšana.</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Veselības inspekcija kontrolē tirdzniecībā esošās krāsas un lakas.</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vides dienests kontrolē krāsas un lakas, kas tiek ražotas laišanai tirgū, un krāsu un laku profesionālo lietošanu.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Sēra emisiju ierobežošana atsevišķiem šķidrās degvielas veidiem</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panta izpratnē ar atsevišķiem šķidrās degvielas veidiem saprot smago degvieleļļu, gāzeļļu un flotes degvielu, tajā skaitā, flotes dīzeļdegvielu un flotes gāzeļļu.</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ierobežotu gaisa piesārņojumu no atsevišķu šķidrās degvielas veidu izmantošanas, Ministru kabinets nosaka:</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parametrus šā panta pirmajā daļā minētajiem šķidrās degvielas veidiem;</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atsevišķu šķidrās degvielas veidu izmantošanai, laišanai tirgū un piegādei, kā arī maksimāli pieļaujamās sēra satura vērtības šiem degvielas veidiem;</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prasības sēra satura noteikšanai atsevišķos šķidrās degvielas veidos;</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sēra emisiju samazināšanas paņēmienu izmantošanai kuģošanas līdzekļos un šo paņēmienu izmēģinājumiem, kā arī kārtību, kādā apstiprina sēra emisiju samazināšanas paņēmienu izmēģinājumus;</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prasības un kārtību jaunu sēra emisiju samazināšanas paņēmienu izmēģinājumu atļauju izsniegšanai un anulēšanai;</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kārtību flotes degvielas piegādātāju reģistrācijai, reģistrā iekļaujamo informāciju, kārtību degvielas piegādātāju izslēgšanai no flotes degvielas piegādātāju reģistra, kā arī kārtību, kādā sniedz informāciju Valsts ieņēmumu dienestam.</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ieņēmumu dienests, pildot 1973. gada Starptautiskās konvencijas par piesārņojuma novēršanu no kuģiem, kas grozīta ar 1978. gada Protokolu, VI pielikuma "Noteikumi par gaisa piesārņojuma novēršanu no kuģiem" 18. noteikumā noteiktos pienākumus:</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izveido un uztur flotes degvielas piegādātāju reģistru un savā tīmekļa vietnē nodrošina</w:t>
      </w:r>
      <w:r w:rsidR="00000000" w:rsidRPr="00000000" w:rsidDel="00000000">
        <w:rPr>
          <w:color w:val="#e74c3c"/>
          <w:rtl w:val="0"/>
        </w:rPr>
        <w:t xml:space="preserve"> </w:t>
      </w:r>
      <w:r w:rsidR="00000000" w:rsidRPr="00000000" w:rsidDel="00000000">
        <w:rPr>
          <w:rtl w:val="0"/>
        </w:rPr>
        <w:t xml:space="preserve">šī reģistra publisku pieejamību;</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katru gadu veic</w:t>
      </w:r>
      <w:r w:rsidR="00000000" w:rsidRPr="00000000" w:rsidDel="00000000">
        <w:rPr>
          <w:color w:val="#e74c3c"/>
          <w:rtl w:val="0"/>
        </w:rPr>
        <w:t xml:space="preserve"> </w:t>
      </w:r>
      <w:r w:rsidR="00000000" w:rsidRPr="00000000" w:rsidDel="00000000">
        <w:rPr>
          <w:rtl w:val="0"/>
        </w:rPr>
        <w:t xml:space="preserve">flotes degvielas, kā arī gāzeļļas ikgadējo monitoringu, kura biežumu nosaka, balstoties uz degvielas piegādātāju riska analīzi.</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vides dienests kontrolē pieļaujamo sēra saturu un izmantošanas prasību ievērošanu lietošanā esošajā smagajā degvieleļļā, gāzeļļā un flotes degvielā, tajā skaitā, veic flotes degvielas monitoringu uz kuģiem.</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sabiedrība ar ierobežotu atbildību "Latvijas Jūras administrācija" izsniedz un anulē jaunu emisiju samazināšanas paņēmienu izmēģinājumu atļaujas, kontrolē emisiju samazināšanas paņēmienu izmantošanu un, veicot ārvalstu kuģu ostas valsts kontroli un Latvijas kuģu karogvalsts kontroli, pārbauda nepieciešamo dokumentāciju un piegādātās degvielas parauga noformējuma atbilstību prasībām.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Ceļiem neparedzētās mobilās tehnikas iekšdedzes motoru radīto emisiju ierobežošana</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Ceļiem neparedzētas mobilās tehnikas iekšdedzes radīto gaisu piesārņojošo vielu emisiju ierobežošanu un motora tipa vai motora saimes apstiprināšanu veic atbilstoši Eiropas Parlamenta un Padomes 2016. gada 14. septembra Regulā (ES) Nr. 2016/1628 par prasībām attiecībā uz autoceļiem neparedzētas mobilās tehnikas iekšdedzes motoru gāzveida un daļiņveida piesārņotāju emisiju robežvērtībām un tipa apstiprināšanu, ar ko groza Regulas (ES) Nr. 1024/2012 un (ES) Nr. 167/2013 un groza un atceļ Direktīvu 97/68/EK (turpmāk - Regula Nr. 2016/1628) noteiktajām prasībām.</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Apstiprinātājiestāde Regulas Nr. 2016/1628 3. panta 55. apakšpunkta izpratnē ir privāto tiesību juridiska persona, ar kuru Klimata un enerģētikas ministrija Valsts pārvaldes iekārtas likumā noteiktajā kārtībā ir noslēgusi deleģējuma līgumu. </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Potenciālais deleģējuma līguma slēdzējs iesniedz izvērtēšanai Klimata un enerģētikas ministrijā rakstveida pieteikumu deleģējuma līguma slēgšanai. Ar potenciālo deleģējuma līguma slēdzēju, kuru Klimata un enerģētikas ministrija izraudzījusi, deleģējuma līgumu slēdz ne ilgāk kā uz pieciem gadiem. </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Privāto tiesību juridiska persona, pildot deleģējuma līgumā noteiktos uzdevumus un Regulā Nr. 2016/1628 noteiktos apstiprinātājiestādes uzdevumus, tostarp izdodot šā panta piektajā daļā minētos administratīvos aktus, atrodas Klimata un enerģētikas ministrijas pakļautībā.</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Apstiprinātājiestāde pieņem lēmumu par administratīvā akta - Eiropas Savienības tipa apstiprinājuma sertifikāta - izsniegšanu, grozīšanu un anulēšanu.</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Izdevumus, kas saistīti ar motora tipa apstiprināšanu vai kas saistīti ar grozījumu apstiprināšanu motora tipa informācijas dokumentā, sedz motora tipa apstiprinājuma vai tā grozījumu pieteicējs (ražotājs), kas iesniedzis dokumentus apstiprinātājiestādei.</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Regulā Nr. 2016/1628 paredzēto tirgus uzraudzību veic:</w:t>
      </w:r>
    </w:p>
    <w:p w:rsidP="00000000" w:rsidRDefault="00000000" w:rsidR="00000000" w:rsidRPr="00000000" w:rsidDel="00000000">
      <w:pPr>
        <w:numPr>
          <w:ilvl w:val="1"/>
          <w:numId w:val="2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tehniskās uzraudzības aģentūra attiecībā uz traktortehniku un citiem šajā aģentūrā reģistrējamās tehnikas motoriem; </w:t>
      </w:r>
    </w:p>
    <w:p w:rsidP="00000000" w:rsidRDefault="00000000" w:rsidR="00000000" w:rsidRPr="00000000" w:rsidDel="00000000">
      <w:pPr>
        <w:numPr>
          <w:ilvl w:val="1"/>
          <w:numId w:val="2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sabiedrība ar ierobežotu atbildību "Latvijas Jūras administrācija" attiecībā uz kuģu reģistrā reģistrējamo iekšējo ūdensceļu kuģu motoriem;</w:t>
      </w:r>
    </w:p>
    <w:p w:rsidP="00000000" w:rsidRDefault="00000000" w:rsidR="00000000" w:rsidRPr="00000000" w:rsidDel="00000000">
      <w:pPr>
        <w:numPr>
          <w:ilvl w:val="1"/>
          <w:numId w:val="2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dzelzceļa tehniskā inspekcija attiecībā uz motorvagoniem vai vilces līdzekļos uzstādītajiem motoriem;</w:t>
      </w:r>
    </w:p>
    <w:p w:rsidP="00000000" w:rsidRDefault="00000000" w:rsidR="00000000" w:rsidRPr="00000000" w:rsidDel="00000000">
      <w:pPr>
        <w:numPr>
          <w:ilvl w:val="1"/>
          <w:numId w:val="2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Patērētāju tiesību aizsardzības centrs attiecībā uz tirdzniecības vietās esošajiem motoriem, kuru kontroli neveic citas šajā panta daļā minētās iestādes, kā arī motoriem, kas uzstādīti tikai profesionālai lietošanai paredzētās iekārtās.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Dažādu piesārņojuma avotu radītā gaisa piesārņojuma ierobežošana </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nosaka prasības gaisa piesārņojuma ierobežošanai no lauksaimnieciskajām darbībām, kā arī atbildīgās iestādes šo prasību īstenošanai un kontrolei. </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var izdot instrukciju, kurā nosaka prasības par pieļaujamo gaisa piesārņojuma līmeni, kuru drīkst emitēt centrālo valsts iestāžu un to padotībā esošo iestāžu nomātie un iegādātie vieglie automobiļi.</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Rūpniecisko darbību radītā gaisa piesārņojuma samazināšanu veic atbilstoši Piesārņojošo darbību likumā noteiktajām prasībām.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Licences un atļaujas apstrīdēšana</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likuma </w:t>
      </w:r>
      <w:r w:rsidR="00000000" w:rsidRPr="00000000" w:rsidDel="00000000">
        <w:rPr>
          <w:rtl w:val="0"/>
        </w:rPr>
        <w:t xml:space="preserve">2</w:t>
      </w:r>
      <w:r w:rsidR="00000000" w:rsidRPr="00000000" w:rsidDel="00000000">
        <w:rPr>
          <w:rtl w:val="0"/>
        </w:rPr>
        <w:t xml:space="preserve">0.panta piektajā daļā paredzēto lēmumu par licences tādu krāsu un laku tirdzniecībai vai iegādei, kuru sastāvā ir paaugstināts organisko šķīdinātāju saturs, izsniegšanu un anulēšanu var apstrīdēt Enerģētikas un vides aģentūrā Administratīvā procesa likuma noteiktajā kārtībā.</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likuma </w:t>
      </w:r>
      <w:r w:rsidR="00000000" w:rsidRPr="00000000" w:rsidDel="00000000">
        <w:rPr>
          <w:rtl w:val="0"/>
        </w:rPr>
        <w:t xml:space="preserve">21. panta piektajā daļā</w:t>
      </w:r>
      <w:r w:rsidR="00000000" w:rsidRPr="00000000" w:rsidDel="00000000">
        <w:rPr>
          <w:rtl w:val="0"/>
        </w:rPr>
        <w:t xml:space="preserve"> paredzēto lēmumu par jaunu emisiju samazināšanas paņēmienu izmēģinājumu atļaujas izsniegšanu, grozīšanu un anulēšanu var apstrīdēt Satiksmes ministrijā Administratīvā procesa likuma noteiktajā kārtībā.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Informācija un ziņojumi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Informācija par gaisa kvalitāti</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Centrs apkopo un uzkrāj informāciju par gaisa kvalitāti, kas iegūta veicot gaisa kvalitātes novērtēšanu, kā arī nodrošina sabiedrības informēšanu par gaisa kvalitāti Latvijā. </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Centrs sadarbībā ar Veselības inspekciju, Valsts ugunsdzēsības un glābšanas dienestu, vietējo pašvaldību un Valsts vides dienestu informē sabiedrību par trauksmes līmeņa pārsniegumiem.</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 par gaisa kvalitāti, kuru mēra valsts un pašvaldību tīkla monitoringā esošajās gaisa kvalitātes monitoringa stacijās ir pieejama bez maksas un tiek publiskota attiecīgo iestāžu tīmekļvietnēs.</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Operators, kuram atbilstoši gaisa aizsardzības vai piesārņojuma jomas normatīvo aktu, A vai B kategorijas piesārņojošās darbības atļaujas vai C kategorijas piesārņojošās darbības reģistrācijas lēmuma prasībām jāveic gaisa kvalitātes monitorings pēc pieprasījuma sniedz sabiedrībai iegūtos mērījumu datus.</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inspekcija ir atbildīgā iestāde par gaisa piesārņojuma radītās ietekmes uz cilvēku veselību un dzīves kvalitāti novērtēšanu un sabiedrības informēšanu par gaisa piesārņojuma radītajiem veselības riska faktoriem.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Sabiedrības  un starptautisko institūciju informēšana</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Klimata un enerģētikas ministrija un pašvaldības savlaicīgi iesaista sabiedrību valsts līmeņa gaisa piesārņojuma samazināšanas plāna un pašvaldību gaisa kvalitātes uzlabošanas plānu izstrādē, kā arī publisko izstrādātos rīcības plānus un pārskatus par to izpildi. </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nodrošinātu sabiedrību, kā arī vides un veselības aizsardzības organizācijas, plašsaziņas līdzekļus un ieinteresētās puses ar informāciju par gaisa piesārņojuma līmeni valstī, Ministru kabinets nosaka valsts un pašvaldības iestāžu pienākumus attiecībā uz nepieciešamās informācijas par gaisa piesārņojumu sagatavošanu un publicēšanu.</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kabinets nosaka kārtību, kādā tiek sagatavota informācija Eiropas Savienības un citām starptautiskajām institūcijām par šajā likumā minēto regulējumu īstenošanu, kā arī iestādes, kas atbildīgas par minētās informācijas sagatavošanu.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Administratīvie pārkāpumi gaisa piesārņojuma jomā un kompetence administratīvo pārkāpumu procesā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Iebraukšana zemo emisiju zonā un bezemisiju zonā ar neatbilstošu transportlīdzekli</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iebraukšanu zemo emisiju zonā ar transportlīdzekli, kas atbilst "EURO 5" vai zemākai emisiju klasei piemēro naudas sodu fiziskajai personai līdz desmit naudas soda vienību apmērā, bet juridiskajai personai septiņpadsmit naudas soda vienību apmērā. </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iebraukšanu bezemisiju zonā ar transportlīdzekli, kas rada gaisu piesārņojošo vielu emisijas piemēro naudas sodu fiziskajai personai desmit naudas soda vienību apmērā, bet juridiskajai personai septiņpadsmit naudas soda vienību apmērā. </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zemo emisiju zonā vai bezemisiju zonā tiek papildus noteikta arī ielu nodeva atbilstoši ceļu nodevas regulējošajiem normatīvajiem aktiem, tad tiek piemērots administratīvais sods tikai atbilstoši ceļu nodevas regulējošajiem normatīvajiem aktiem.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Neatbilstošas apkures iekārtas vai kurināmā izmantošana</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Par cietās biomasas, ogļu vai kūdras izmantošanu apkures iekārtā un tādas apkures iekārtas darbināšanu, kurā kā kurināmais tiek izmantota cietā biomasa, ogles vai kūdra piemēro brīdinājumu vai naudas sodu fiziskajai personai līdz simt četrdesmit naudas soda vienībām, bet juridiskajai personai piemēro brīdinājumu vai naudas sodu līdz divsimt astoņdesmit naudas soda vienībām.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Neatbilstošu krāsu un laku ražošana, tirdzniecība un izmantošana</w:t>
      </w:r>
    </w:p>
    <w:p w:rsidP="00000000" w:rsidRDefault="00000000" w:rsidR="00000000" w:rsidRPr="00000000" w:rsidDel="00000000">
      <w:pPr>
        <w:numPr>
          <w:ilvl w:val="0"/>
          <w:numId w:val="2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w:t>
      </w:r>
      <w:r w:rsidR="00000000" w:rsidRPr="00000000" w:rsidDel="00000000">
        <w:rPr>
          <w:color w:val="#3498db"/>
          <w:rtl w:val="0"/>
        </w:rPr>
        <w:t xml:space="preserve"> </w:t>
      </w:r>
      <w:r w:rsidR="00000000" w:rsidRPr="00000000" w:rsidDel="00000000">
        <w:rPr>
          <w:rtl w:val="0"/>
        </w:rPr>
        <w:t xml:space="preserve">krāsu un laku, kas pārsniedz Ministru kabineta atļauto gaistošo organisko savienojumu saturu</w:t>
      </w:r>
      <w:r w:rsidR="00000000" w:rsidRPr="00000000" w:rsidDel="00000000">
        <w:rPr>
          <w:color w:val="#3498db"/>
          <w:rtl w:val="0"/>
        </w:rPr>
        <w:t xml:space="preserve"> </w:t>
      </w:r>
      <w:r w:rsidR="00000000" w:rsidRPr="00000000" w:rsidDel="00000000">
        <w:rPr>
          <w:rtl w:val="0"/>
        </w:rPr>
        <w:t xml:space="preserve">tirdzniecību vai profesionālo lietošanu</w:t>
      </w:r>
      <w:r w:rsidR="00000000" w:rsidRPr="00000000" w:rsidDel="00000000">
        <w:rPr>
          <w:color w:val="#3498db"/>
          <w:rtl w:val="0"/>
        </w:rPr>
        <w:t xml:space="preserve"> </w:t>
      </w:r>
      <w:r w:rsidR="00000000" w:rsidRPr="00000000" w:rsidDel="00000000">
        <w:rPr>
          <w:rtl w:val="0"/>
        </w:rPr>
        <w:t xml:space="preserve">bez licences piemēro naudas sodu fiziskajai personai no sešām līdz astoņdesmit sešām naudas soda vienībām, bet juridiskajai personai — no septiņdesmit līdz divsimt astoņdesmit naudas soda vienībām.</w:t>
      </w:r>
    </w:p>
    <w:p w:rsidP="00000000" w:rsidRDefault="00000000" w:rsidR="00000000" w:rsidRPr="00000000" w:rsidDel="00000000">
      <w:pPr>
        <w:numPr>
          <w:ilvl w:val="0"/>
          <w:numId w:val="2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tādu  krāsu un laku tirdzniecību un ražošanu laišanai tirgū, kuras pārsniedz normatīvajos aktos atļautās maksimālās gaistošo organisko savienojumu satura robežvērtības vai kuras nav atbilstoši marķētas, piemēro naudas sodu fiziskajai personai no septiņām līdz simt četrdesmit naudas soda vienībām, bet juridiskajai personai — no piecdesmit sešām līdz divsimt astoņdesmit naudas soda vienībām.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Flotes degvielas izmantošanas un piegādes jomas noteikumos noteikto prasību neievērošana</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flotes degvielas izmantošanas noteikumu pārkāpumiem vai ar to saistīto emisijas samazināšanas paņēmienu izmantošanas vai jaunu emisiju samazināšanas paņēmienu izmēģinājumiem noteikto prasību neievērošanu Latvijas ekskluzīvajā ekonomiskajā zonā, teritoriālajā jūrā, iekšējos jūras ūdeņos, ostu akvatorijās, piestātnēs un upju grīvās piemēro naudas sodu fiziskajai personai no četrdesmit līdz četrsimt naudas soda vienībām, bet juridiskajai personai — no četrsimt līdz četrtūkstoš naudas soda vienībām.</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degvielas piegādes pavaddokumentā norādītajai degvielai neatbilstošas vai prasībām neatbilstošas flotes degvielas piegādi piemēro naudas sodu fiziskajai personai no četrdesmit līdz četrsimt naudas soda vienībām, bet juridiskajai personai — no četrsimt līdz četrtūkstoš naudas soda vienībām.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Kompetence administratīvo pārkāpumu procesā</w:t>
      </w:r>
    </w:p>
    <w:p w:rsidP="00000000" w:rsidRDefault="00000000" w:rsidR="00000000" w:rsidRPr="00000000" w:rsidDel="00000000">
      <w:pPr>
        <w:numPr>
          <w:ilvl w:val="0"/>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Administratīvā pārkāpuma procesu par šā likuma 27. pantā minētajiem pārkāpumiem veic pašvaldības pilnvarota institūcija vai amatpersona.</w:t>
      </w:r>
    </w:p>
    <w:p w:rsidP="00000000" w:rsidRDefault="00000000" w:rsidR="00000000" w:rsidRPr="00000000" w:rsidDel="00000000">
      <w:pPr>
        <w:numPr>
          <w:ilvl w:val="0"/>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Administratīvā pārkāpuma procesu par šā likuma 28. pantā minēto pārkāpumu veic pašvaldības vides kontroles amatpersona, pašvaldības vides inspekcija, pašvaldības būvvalde vai pašvaldības policija.</w:t>
      </w:r>
    </w:p>
    <w:p w:rsidP="00000000" w:rsidRDefault="00000000" w:rsidR="00000000" w:rsidRPr="00000000" w:rsidDel="00000000">
      <w:pPr>
        <w:numPr>
          <w:ilvl w:val="0"/>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Administratīvā pārkāpuma procesu par šā likuma </w:t>
      </w:r>
      <w:r w:rsidR="00000000" w:rsidRPr="00000000" w:rsidDel="00000000">
        <w:rPr>
          <w:rtl w:val="0"/>
        </w:rPr>
        <w:t xml:space="preserve">29. </w:t>
      </w:r>
      <w:r w:rsidR="00000000" w:rsidRPr="00000000" w:rsidDel="00000000">
        <w:rPr>
          <w:rtl w:val="0"/>
        </w:rPr>
        <w:t xml:space="preserve">pantā</w:t>
      </w:r>
      <w:r w:rsidR="00000000" w:rsidRPr="00000000" w:rsidDel="00000000">
        <w:rPr>
          <w:rtl w:val="0"/>
        </w:rPr>
        <w:t xml:space="preserve"> minētajiem pārkāpumiem saistībā ar krāsu un laku ražošanu laišanai tirgū</w:t>
      </w:r>
      <w:r w:rsidR="00000000" w:rsidRPr="00000000" w:rsidDel="00000000">
        <w:rPr>
          <w:b w:val="1"/>
          <w:rtl w:val="0"/>
        </w:rPr>
        <w:t xml:space="preserve"> </w:t>
      </w:r>
      <w:r w:rsidR="00000000" w:rsidRPr="00000000" w:rsidDel="00000000">
        <w:rPr>
          <w:rtl w:val="0"/>
        </w:rPr>
        <w:t xml:space="preserve">vai profesionālo lietošanu, veic Valsts vides dienests, bet par pārkāpumiem saistībā ar neatbilstošu krāsu un laku tirdzniecību - Veselības inspekcija.</w:t>
      </w:r>
    </w:p>
    <w:p w:rsidP="00000000" w:rsidRDefault="00000000" w:rsidR="00000000" w:rsidRPr="00000000" w:rsidDel="00000000">
      <w:pPr>
        <w:numPr>
          <w:ilvl w:val="0"/>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Administratīvā pārkāpuma procesu par šā likuma </w:t>
      </w:r>
      <w:r w:rsidR="00000000" w:rsidRPr="00000000" w:rsidDel="00000000">
        <w:rPr>
          <w:rtl w:val="0"/>
        </w:rPr>
        <w:t xml:space="preserve">30. panta pirmajā daļā</w:t>
      </w:r>
      <w:r w:rsidR="00000000" w:rsidRPr="00000000" w:rsidDel="00000000">
        <w:rPr>
          <w:rtl w:val="0"/>
        </w:rPr>
        <w:t xml:space="preserve"> minētajiem pārkāpumiem veic Valsts vides dienests, bet par </w:t>
      </w:r>
      <w:r w:rsidR="00000000" w:rsidRPr="00000000" w:rsidDel="00000000">
        <w:rPr>
          <w:rtl w:val="0"/>
        </w:rPr>
        <w:t xml:space="preserve">30. panta otrajā daļā</w:t>
      </w:r>
      <w:r w:rsidR="00000000" w:rsidRPr="00000000" w:rsidDel="00000000">
        <w:rPr>
          <w:rtl w:val="0"/>
        </w:rPr>
        <w:t xml:space="preserve"> minētajiem pārkāpumiem veic Valsts ieņēmumu dienests.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šā likuma 5.panta otrajā daļā, 6.panta trešajā daļā, 8. panta otrajā daļā, 9.pantā, 10.panta ceturtajā daļā, 11.panta piektajā daļā, 15.panta piektajā daļā, 19.panta pirmajā daļā,  20.panta trešajā un sestajā daļā, 21.panta otrajā daļā, 23.panta pirmajā daļā, 26.panta otrajā un trešajā daļā minēto noteikumu spēkā stāšanās dienai, bet ne ilgāk kā līdz 2026. gada 1. jūlijam ir piemērojami šādi Ministru kabineta noteikumi un pašvaldību saistošie noteikumi, ciktāl tie nav pretrunā ar šo likumu: </w:t>
      </w:r>
    </w:p>
    <w:p w:rsidP="00000000" w:rsidRDefault="00000000" w:rsidR="00000000" w:rsidRPr="00000000" w:rsidDel="00000000">
      <w:pPr>
        <w:numPr>
          <w:ilvl w:val="1"/>
          <w:numId w:val="3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2018. gada 2. oktobra noteikumi Nr. 614 "Kopējo gaisu piesārņojošo vielu emisiju samazināšanas un uzskaites noteikumi"</w:t>
      </w:r>
      <w:r w:rsidR="00000000" w:rsidRPr="00000000" w:rsidDel="00000000">
        <w:rPr>
          <w:rtl w:val="0"/>
        </w:rPr>
        <w:t xml:space="preserve">;</w:t>
      </w:r>
    </w:p>
    <w:p w:rsidP="00000000" w:rsidRDefault="00000000" w:rsidR="00000000" w:rsidRPr="00000000" w:rsidDel="00000000">
      <w:pPr>
        <w:numPr>
          <w:ilvl w:val="1"/>
          <w:numId w:val="3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2009.gada 3.novembra noteikumi Nr.1290 "Noteikumi par gaisa kvalitāti"</w:t>
      </w:r>
    </w:p>
    <w:p w:rsidP="00000000" w:rsidRDefault="00000000" w:rsidR="00000000" w:rsidRPr="00000000" w:rsidDel="00000000">
      <w:pPr>
        <w:numPr>
          <w:ilvl w:val="1"/>
          <w:numId w:val="3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kabineta 2007. gada 3. aprīļa noteikumi Nr. 231 "Noteikumi par gaistošo organisko savienojumu emisijas ierobežošanu no noteiktiem produktiem"</w:t>
      </w:r>
      <w:r w:rsidR="00000000" w:rsidRPr="00000000" w:rsidDel="00000000">
        <w:rPr>
          <w:rtl w:val="0"/>
        </w:rPr>
        <w:t xml:space="preserve">;</w:t>
      </w:r>
    </w:p>
    <w:p w:rsidP="00000000" w:rsidRDefault="00000000" w:rsidR="00000000" w:rsidRPr="00000000" w:rsidDel="00000000">
      <w:pPr>
        <w:numPr>
          <w:ilvl w:val="1"/>
          <w:numId w:val="3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kabineta 2014. gada 23. decembrī noteikumi Nr. 834 "Prasības ūdens, augsnes un gaisa aizsardzībai no lauksaimnieciskās darbības izraisīta piesārņojuma"</w:t>
      </w:r>
      <w:r w:rsidR="00000000" w:rsidRPr="00000000" w:rsidDel="00000000">
        <w:rPr>
          <w:rtl w:val="0"/>
        </w:rPr>
        <w:t xml:space="preserve">;</w:t>
      </w:r>
    </w:p>
    <w:p w:rsidP="00000000" w:rsidRDefault="00000000" w:rsidR="00000000" w:rsidRPr="00000000" w:rsidDel="00000000">
      <w:pPr>
        <w:numPr>
          <w:ilvl w:val="1"/>
          <w:numId w:val="3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Ministru kabineta 2006. gada 26. septembra noteikumi Nr. 801 "Noteikumi par sēra satura ierobežošanu atsevišķiem šķidrās degvielas veidiem"</w:t>
      </w:r>
      <w:r w:rsidR="00000000" w:rsidRPr="00000000" w:rsidDel="00000000">
        <w:rPr>
          <w:rtl w:val="0"/>
        </w:rPr>
        <w:t xml:space="preserve">;</w:t>
      </w:r>
    </w:p>
    <w:p w:rsidP="00000000" w:rsidRDefault="00000000" w:rsidR="00000000" w:rsidRPr="00000000" w:rsidDel="00000000">
      <w:pPr>
        <w:numPr>
          <w:ilvl w:val="1"/>
          <w:numId w:val="3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Ministru kabineta 2014.gada 25.novembra noteikumi Nr.724 "Noteikumi par piesārņojošas darbības izraisīto smaku noteikšanas metodēm, kā arī kārtību, kādā ierobežo šo smaku izplatīšanos"</w:t>
      </w:r>
    </w:p>
    <w:p w:rsidP="00000000" w:rsidRDefault="00000000" w:rsidR="00000000" w:rsidRPr="00000000" w:rsidDel="00000000">
      <w:pPr>
        <w:numPr>
          <w:ilvl w:val="1"/>
          <w:numId w:val="3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Rīgas domes 2019. gada 18. decembra saistošie noteikumi Nr. 97 "Par gaisa piesārņojuma teritoriālo zonējumu"</w:t>
      </w:r>
      <w:r w:rsidR="00000000" w:rsidRPr="00000000" w:rsidDel="00000000">
        <w:rPr>
          <w:rtl w:val="0"/>
        </w:rPr>
        <w:t xml:space="preserve">.</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i w:val="1"/>
          <w:rtl w:val="0"/>
        </w:rPr>
        <w:t xml:space="preserve">Šī likuma 16.panta otrajā, trešajā un ceturtajā daļā noteiktās prasības piemērojamas teritorijas plānojumiem, kuru izstrāde uzsākta pēc šī likuma stāšanās spēkā.</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Līdz šī likuma 10.pantā minētā plāna apstiprināšanai Ministru kabinetā spēkā ir "Gaisa piesārņojuma samazināšanas rīcības plāns 2020.-2030. gadam" (apstiprināts ar Ministru kabineta 2020. gada 16. aprīļa rīkojumu Nr. 197 "Par Gaisa piesārņojuma samazināšanas rīcības plānu 2020.-2030. gadam"), kuru aktualizē šī likuma 10. panta otrajā daļā noteiktajā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Informatīvā atsauce uz Eiropas Savienības direktīvām</w:t>
      </w:r>
    </w:p>
    <w:p w:rsidP="00000000" w:rsidRDefault="00000000" w:rsidR="00000000" w:rsidRPr="00000000" w:rsidDel="00000000">
      <w:pPr>
        <w:numPr>
          <w:ilvl w:val="0"/>
          <w:numId w:val="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Likumā iekļautas tiesību normas, kas izriet no:</w:t>
      </w:r>
    </w:p>
    <w:p w:rsidP="00000000" w:rsidRDefault="00000000" w:rsidR="00000000" w:rsidRPr="00000000" w:rsidDel="00000000">
      <w:pPr>
        <w:numPr>
          <w:ilvl w:val="1"/>
          <w:numId w:val="3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2008.gada 21.maija Direktīvas 2008/50/EK par gaisa kvalitāti un tīrāku gaisu Eiropai;</w:t>
      </w:r>
    </w:p>
    <w:p w:rsidP="00000000" w:rsidRDefault="00000000" w:rsidR="00000000" w:rsidRPr="00000000" w:rsidDel="00000000">
      <w:pPr>
        <w:numPr>
          <w:ilvl w:val="1"/>
          <w:numId w:val="3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2004.gada 15.decembra Direktīvas 2004/107/EK par arsēnu, kadmiju, dzīvsudrabu, niķeli un policikliskajiem aromātiskajiem ogļūdeņražiem;</w:t>
      </w:r>
    </w:p>
    <w:p w:rsidP="00000000" w:rsidRDefault="00000000" w:rsidR="00000000" w:rsidRPr="00000000" w:rsidDel="00000000">
      <w:pPr>
        <w:numPr>
          <w:ilvl w:val="1"/>
          <w:numId w:val="3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Komisijas 2015. gada 28. augusta Direktīvas (ES) 2015/1480, ar kuru groza dažus pielikumus Eiropas Parlamenta un Padomes Direktīvās 2004/107/EK un 2008/50/EK, ar ko paredz noteikumus attiecībā uz standartmetodēm, datu validēšanu un paraugu ņemšanas vietu izvietojumu gaisa kvalitātes novērtēšanai;</w:t>
      </w:r>
    </w:p>
    <w:p w:rsidP="00000000" w:rsidRDefault="00000000" w:rsidR="00000000" w:rsidRPr="00000000" w:rsidDel="00000000">
      <w:pPr>
        <w:numPr>
          <w:ilvl w:val="1"/>
          <w:numId w:val="3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Parlamenta un Padomes 2016. gada 14. decembra direktīvas (ES) 2016/2284 par dažu gaisu piesārņojošo vielu valstu emisiju samazināšanu un ar ko groza direktīvu 2003/35/EK un atceļ direktīvu 2001/81/EK;</w:t>
      </w:r>
    </w:p>
    <w:p w:rsidP="00000000" w:rsidRDefault="00000000" w:rsidR="00000000" w:rsidRPr="00000000" w:rsidDel="00000000">
      <w:pPr>
        <w:numPr>
          <w:ilvl w:val="1"/>
          <w:numId w:val="3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Eiropas Parlamenta un Padomes 2004.gada 21.aprīļa direktīvas 2004/42/EK, ar ko ierobežo gaistošo organisko savienojumu emisijas, kuras rada organisko šķīdinātāju izmantošana noteiktās krāsās, lakās un transportlīdzekļu galīgās apdares materiālos, un ar ko groza direktīvu 1999/13/EK;</w:t>
      </w:r>
    </w:p>
    <w:p w:rsidP="00000000" w:rsidRDefault="00000000" w:rsidR="00000000" w:rsidRPr="00000000" w:rsidDel="00000000">
      <w:pPr>
        <w:numPr>
          <w:ilvl w:val="1"/>
          <w:numId w:val="3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Eiropas Parlamenta un Padomes 2016. gada 11. maija Direktīvas (ES) 2016/802, ar ko paredz sēra satura samazināšanu konkrētiem šķidrā kurināmā veidiem.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2025.gada 1.jūlijā.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21-TA-1420</w:t>
    </w:r>
    <w:r>
      <w:br/>
    </w:r>
    <w:r w:rsidR="00000000" w:rsidRPr="00000000" w:rsidDel="00000000">
      <w:rPr>
        <w:rtl w:val="0"/>
      </w:rPr>
      <w:t xml:space="preserve">Izdrukāts 29.07.2026. 21.12 - 7.0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21-TA-1420</w:t>
    </w:r>
    <w:r>
      <w:br/>
    </w:r>
    <w:r w:rsidR="00000000" w:rsidRPr="00000000" w:rsidDel="00000000">
      <w:rPr>
        <w:rtl w:val="0"/>
      </w:rPr>
      <w:t xml:space="preserve">Izdrukāts 29.07.2026. 21.12 - 7.0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9">
    <w:multiLevelType w:val="hybridMultilevel"/>
    <w:lvl w:ilvl="0">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3">
    <w:multiLevelType w:val="hybridMultilevel"/>
    <w:lvl w:ilvl="0">
      <w:start w:val="1"/>
      <w:numFmt w:val="bullet"/>
      <w:lvlRestart w:val="1"/>
      <w:lvlText w:val=""/>
      <w:lvlJc w:val="left"/>
      <w:pPr>
        <w:ind w:left="0" w:firstLine="705"/>
      </w:pPr>
      <w:rPr>
        <w:u w:val="none"/>
      </w:rPr>
    </w:lvl>
  </w:abstractNum>
  <w:abstractNum w:abstractNumId="24">
    <w:multiLevelType w:val="hybridMultilevel"/>
    <w:lvl w:ilvl="0">
      <w:start w:val="1"/>
      <w:numFmt w:val="bullet"/>
      <w:lvlRestart w:val="1"/>
      <w:lvlText w:val=""/>
      <w:lvlJc w:val="left"/>
      <w:pPr>
        <w:ind w:left="0" w:firstLine="705"/>
      </w:pPr>
      <w:rPr>
        <w:u w:val="none"/>
      </w:rPr>
    </w:lvl>
  </w:abstractNum>
  <w:abstractNum w:abstractNumId="25">
    <w:multiLevelType w:val="hybridMultilevel"/>
    <w:lvl w:ilvl="0">
      <w:start w:val="1"/>
      <w:numFmt w:val="bullet"/>
      <w:lvlRestart w:val="1"/>
      <w:lvlText w:val=""/>
      <w:lvlJc w:val="left"/>
      <w:pPr>
        <w:ind w:left="0" w:firstLine="705"/>
      </w:pPr>
      <w:rPr>
        <w:u w:val="none"/>
      </w:rPr>
    </w:lvl>
  </w:abstractNum>
  <w:abstractNum w:abstractNumId="26">
    <w:multiLevelType w:val="hybridMultilevel"/>
    <w:lvl w:ilvl="0">
      <w:start w:val="1"/>
      <w:numFmt w:val="bullet"/>
      <w:lvlRestart w:val="1"/>
      <w:lvlText w:val=""/>
      <w:lvlJc w:val="left"/>
      <w:pPr>
        <w:ind w:left="0" w:firstLine="705"/>
      </w:pPr>
      <w:rPr>
        <w:u w:val="none"/>
      </w:rPr>
    </w:lvl>
  </w:abstractNum>
  <w:abstractNum w:abstractNumId="27">
    <w:multiLevelType w:val="hybridMultilevel"/>
    <w:lvl w:ilvl="0">
      <w:start w:val="1"/>
      <w:numFmt w:val="bullet"/>
      <w:lvlRestart w:val="1"/>
      <w:lvlText w:val=""/>
      <w:lvlJc w:val="left"/>
      <w:pPr>
        <w:ind w:left="0" w:firstLine="705"/>
      </w:pPr>
      <w:rPr>
        <w:u w:val="none"/>
      </w:rPr>
    </w:lvl>
  </w:abstractNum>
  <w:abstractNum w:abstractNumId="28">
    <w:multiLevelType w:val="hybridMultilevel"/>
    <w:lvl w:ilvl="0">
      <w:start w:val="1"/>
      <w:numFmt w:val="bullet"/>
      <w:lvlRestart w:val="1"/>
      <w:lvlText w:val=""/>
      <w:lvlJc w:val="left"/>
      <w:pPr>
        <w:ind w:left="0" w:firstLine="705"/>
      </w:pPr>
      <w:rPr>
        <w:u w:val="none"/>
      </w:rPr>
    </w:lvl>
  </w:abstractNum>
  <w:abstractNum w:abstractNumId="29">
    <w:multiLevelType w:val="hybridMultilevel"/>
    <w:lvl w:ilvl="0">
      <w:start w:val="1"/>
      <w:numFmt w:val="bullet"/>
      <w:lvlRestart w:val="1"/>
      <w:lvlText w:val=""/>
      <w:lvlJc w:val="left"/>
      <w:pPr>
        <w:ind w:left="0" w:firstLine="705"/>
      </w:pPr>
      <w:rPr>
        <w:u w:val="none"/>
      </w:rPr>
    </w:lvl>
  </w:abstractNum>
  <w:abstractNum w:abstractNumId="30">
    <w:multiLevelType w:val="hybridMultilevel"/>
    <w:lvl w:ilvl="0">
      <w:start w:val="1"/>
      <w:numFmt w:val="bullet"/>
      <w:lvlRestart w:val="1"/>
      <w:lvlText w:val=""/>
      <w:lvlJc w:val="left"/>
      <w:pPr>
        <w:ind w:left="0" w:firstLine="705"/>
      </w:pPr>
      <w:rPr>
        <w:u w:val="none"/>
      </w:rPr>
    </w:lvl>
  </w:abstractNum>
  <w:abstractNum w:abstractNumId="31">
    <w:multiLevelType w:val="hybridMultilevel"/>
    <w:lvl w:ilvl="0">
      <w:start w:val="1"/>
      <w:numFmt w:val="bullet"/>
      <w:lvlRestart w:val="1"/>
      <w:lvlText w:val=""/>
      <w:lvlJc w:val="left"/>
      <w:pPr>
        <w:ind w:left="0" w:firstLine="705"/>
      </w:pPr>
      <w:rPr>
        <w:u w:val="none"/>
      </w:rPr>
    </w:lvl>
  </w:abstractNum>
  <w:abstractNum w:abstractNumId="3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3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likumprojekts_21-TA-1420.docx</dc:title>
</cp:coreProperties>
</file>

<file path=docProps/custom.xml><?xml version="1.0" encoding="utf-8"?>
<Properties xmlns="http://schemas.openxmlformats.org/officeDocument/2006/custom-properties" xmlns:vt="http://schemas.openxmlformats.org/officeDocument/2006/docPropsVTypes"/>
</file>