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jūnijā (prot. Nr. 23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69. panta pirmo daļu, atbalstīt apropriācijas pārdali 2025. gadā, nepārsniedzot 2 828 714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no budžeta resora "74. Gadskārtējā valsts budžeta izpildes procesā pārdalāmais finansējums" programmas 18.00.00 "Finansējums valsts drošības stiprināšanas pasākumiem" uz šādām Veselības ministrijas budžeta apakšprogrammām, lai nodrošinātu ar veselības nozares saistīto rezervju veidošanu aizsardzībai pret ķīmisko, bioloģisko, radioloģisko un kodolelenerģijas apdraudējumu un kritisko ārstniecības iestāžu noturības stiprināšanu,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39.03.00 "Asins un asins komponentu nodrošināšana" 523 000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39.04.00 "Neatliekamā medicīniskā palīdzība" 2 305 714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 un faktiski nepieciešamajam līdzekļu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25-TA-1221</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25-TA-1221</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rīkojuma_projekts_25-TA-1221.docx</dc:title>
</cp:coreProperties>
</file>

<file path=docProps/custom.xml><?xml version="1.0" encoding="utf-8"?>
<Properties xmlns="http://schemas.openxmlformats.org/officeDocument/2006/custom-properties" xmlns:vt="http://schemas.openxmlformats.org/officeDocument/2006/docPropsVTypes"/>
</file>